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11126" w14:textId="77777777" w:rsidR="008A5535" w:rsidRPr="0096784A" w:rsidRDefault="008A5535">
      <w:pPr>
        <w:rPr>
          <w:sz w:val="22"/>
          <w:szCs w:val="22"/>
        </w:rPr>
      </w:pPr>
    </w:p>
    <w:p w14:paraId="252DCF88" w14:textId="4CFC3C90" w:rsidR="00C12EE8" w:rsidRPr="0096784A" w:rsidRDefault="00C12EE8" w:rsidP="003B3D18">
      <w:pPr>
        <w:jc w:val="center"/>
        <w:rPr>
          <w:b/>
          <w:bCs/>
          <w:sz w:val="22"/>
          <w:szCs w:val="22"/>
        </w:rPr>
      </w:pPr>
      <w:r w:rsidRPr="0096784A">
        <w:rPr>
          <w:b/>
          <w:bCs/>
          <w:sz w:val="22"/>
          <w:szCs w:val="22"/>
        </w:rPr>
        <w:t xml:space="preserve">Request for </w:t>
      </w:r>
      <w:r w:rsidR="007123C2" w:rsidRPr="0096784A">
        <w:rPr>
          <w:b/>
          <w:bCs/>
          <w:sz w:val="22"/>
          <w:szCs w:val="22"/>
        </w:rPr>
        <w:t>Proposal</w:t>
      </w:r>
      <w:r w:rsidR="003B3D18" w:rsidRPr="0096784A">
        <w:rPr>
          <w:b/>
          <w:bCs/>
          <w:sz w:val="22"/>
          <w:szCs w:val="22"/>
        </w:rPr>
        <w:t xml:space="preserve"> 2024-</w:t>
      </w:r>
      <w:r w:rsidR="003B3D18" w:rsidRPr="00E873C0">
        <w:rPr>
          <w:b/>
          <w:bCs/>
          <w:sz w:val="22"/>
          <w:szCs w:val="22"/>
        </w:rPr>
        <w:t>001</w:t>
      </w:r>
    </w:p>
    <w:p w14:paraId="63D19203" w14:textId="79D8D716" w:rsidR="003B3D18" w:rsidRPr="0096784A" w:rsidRDefault="006E7FD5" w:rsidP="003B3D18">
      <w:pPr>
        <w:jc w:val="center"/>
        <w:rPr>
          <w:b/>
          <w:bCs/>
          <w:sz w:val="22"/>
          <w:szCs w:val="22"/>
        </w:rPr>
      </w:pPr>
      <w:r w:rsidRPr="0096784A">
        <w:rPr>
          <w:b/>
          <w:bCs/>
          <w:sz w:val="22"/>
          <w:szCs w:val="22"/>
        </w:rPr>
        <w:t xml:space="preserve">CTDEEP </w:t>
      </w:r>
      <w:r w:rsidR="004E4EF5">
        <w:rPr>
          <w:b/>
          <w:bCs/>
          <w:sz w:val="22"/>
          <w:szCs w:val="22"/>
        </w:rPr>
        <w:t xml:space="preserve">CERCLA 128(a) </w:t>
      </w:r>
      <w:r w:rsidR="00A61977">
        <w:rPr>
          <w:b/>
          <w:bCs/>
          <w:sz w:val="22"/>
          <w:szCs w:val="22"/>
        </w:rPr>
        <w:t xml:space="preserve">Brownfields </w:t>
      </w:r>
      <w:r w:rsidRPr="0096784A">
        <w:rPr>
          <w:b/>
          <w:bCs/>
          <w:sz w:val="22"/>
          <w:szCs w:val="22"/>
        </w:rPr>
        <w:t xml:space="preserve">Grant </w:t>
      </w:r>
      <w:r w:rsidR="00A61977">
        <w:rPr>
          <w:b/>
          <w:bCs/>
          <w:sz w:val="22"/>
          <w:szCs w:val="22"/>
        </w:rPr>
        <w:t xml:space="preserve">- </w:t>
      </w:r>
      <w:r w:rsidR="003B3D18" w:rsidRPr="0096784A">
        <w:rPr>
          <w:b/>
          <w:bCs/>
          <w:sz w:val="22"/>
          <w:szCs w:val="22"/>
        </w:rPr>
        <w:t>Farm Dump Soil Remediation Honey Hill Farm</w:t>
      </w:r>
    </w:p>
    <w:p w14:paraId="2349E421" w14:textId="3245ED51" w:rsidR="003B3D18" w:rsidRPr="0096784A" w:rsidRDefault="003B3D18" w:rsidP="003B3D18">
      <w:pPr>
        <w:jc w:val="center"/>
        <w:rPr>
          <w:b/>
          <w:bCs/>
          <w:sz w:val="22"/>
          <w:szCs w:val="22"/>
        </w:rPr>
      </w:pPr>
      <w:r w:rsidRPr="0096784A">
        <w:rPr>
          <w:b/>
          <w:bCs/>
          <w:sz w:val="22"/>
          <w:szCs w:val="22"/>
        </w:rPr>
        <w:t>103 Honey Hill Road, East Haddam CT</w:t>
      </w:r>
    </w:p>
    <w:p w14:paraId="2E2BD3CE" w14:textId="1EDEE07E" w:rsidR="00B35396" w:rsidRPr="0096784A" w:rsidRDefault="00C12EE8">
      <w:pPr>
        <w:rPr>
          <w:sz w:val="22"/>
          <w:szCs w:val="22"/>
        </w:rPr>
      </w:pPr>
      <w:r w:rsidRPr="0096784A">
        <w:rPr>
          <w:sz w:val="22"/>
          <w:szCs w:val="22"/>
        </w:rPr>
        <w:t xml:space="preserve">East Haddam Land Trust, Inc. </w:t>
      </w:r>
      <w:r w:rsidR="003B3D18" w:rsidRPr="0096784A">
        <w:rPr>
          <w:sz w:val="22"/>
          <w:szCs w:val="22"/>
        </w:rPr>
        <w:t xml:space="preserve"> (the Client) </w:t>
      </w:r>
      <w:r w:rsidRPr="0096784A">
        <w:rPr>
          <w:sz w:val="22"/>
          <w:szCs w:val="22"/>
        </w:rPr>
        <w:t xml:space="preserve">seeks bids for the following services, to be performed </w:t>
      </w:r>
      <w:r w:rsidR="007123C2" w:rsidRPr="0096784A">
        <w:rPr>
          <w:sz w:val="22"/>
          <w:szCs w:val="22"/>
        </w:rPr>
        <w:t>under</w:t>
      </w:r>
      <w:r w:rsidRPr="0096784A">
        <w:rPr>
          <w:sz w:val="22"/>
          <w:szCs w:val="22"/>
        </w:rPr>
        <w:t xml:space="preserve"> a single contract by the bidding Contractor, with or without the use of </w:t>
      </w:r>
      <w:r w:rsidR="00FF6F54" w:rsidRPr="0096784A">
        <w:rPr>
          <w:sz w:val="22"/>
          <w:szCs w:val="22"/>
        </w:rPr>
        <w:t>s</w:t>
      </w:r>
      <w:r w:rsidRPr="0096784A">
        <w:rPr>
          <w:sz w:val="22"/>
          <w:szCs w:val="22"/>
        </w:rPr>
        <w:t xml:space="preserve">ubcontractors.  Should </w:t>
      </w:r>
      <w:r w:rsidR="00FF6F54" w:rsidRPr="0096784A">
        <w:rPr>
          <w:sz w:val="22"/>
          <w:szCs w:val="22"/>
        </w:rPr>
        <w:t>s</w:t>
      </w:r>
      <w:r w:rsidRPr="0096784A">
        <w:rPr>
          <w:sz w:val="22"/>
          <w:szCs w:val="22"/>
        </w:rPr>
        <w:t>ubcontractors be involved, the</w:t>
      </w:r>
      <w:r w:rsidR="0078135E" w:rsidRPr="0096784A">
        <w:rPr>
          <w:sz w:val="22"/>
          <w:szCs w:val="22"/>
        </w:rPr>
        <w:t xml:space="preserve">ir identities </w:t>
      </w:r>
      <w:r w:rsidRPr="0096784A">
        <w:rPr>
          <w:sz w:val="22"/>
          <w:szCs w:val="22"/>
        </w:rPr>
        <w:t xml:space="preserve">and the scope of their work must be identified in the bid.  </w:t>
      </w:r>
    </w:p>
    <w:p w14:paraId="7BD6619B" w14:textId="1D21FD74" w:rsidR="00CB635F" w:rsidRDefault="003B3D18" w:rsidP="00CB635F">
      <w:pPr>
        <w:pStyle w:val="NoSpacing"/>
        <w:jc w:val="left"/>
        <w:rPr>
          <w:rFonts w:cstheme="minorHAnsi"/>
          <w:color w:val="000000"/>
        </w:rPr>
      </w:pPr>
      <w:r w:rsidRPr="0096784A">
        <w:t>Sealed b</w:t>
      </w:r>
      <w:r w:rsidR="00452E47" w:rsidRPr="0096784A">
        <w:t>ids</w:t>
      </w:r>
      <w:r w:rsidR="004D3123">
        <w:t>, including a completed Bid Sheet (Appendix A hereto)</w:t>
      </w:r>
      <w:r w:rsidR="00452E47" w:rsidRPr="0096784A">
        <w:t xml:space="preserve"> must be</w:t>
      </w:r>
      <w:r w:rsidRPr="0096784A">
        <w:t xml:space="preserve"> postmarked and </w:t>
      </w:r>
      <w:r w:rsidR="00452E47" w:rsidRPr="0096784A">
        <w:t xml:space="preserve">submitted </w:t>
      </w:r>
      <w:r w:rsidRPr="0096784A">
        <w:t xml:space="preserve">by </w:t>
      </w:r>
      <w:r w:rsidR="00452E47" w:rsidRPr="0096784A">
        <w:t xml:space="preserve">5:00 p.m. on </w:t>
      </w:r>
      <w:r w:rsidR="002078DE" w:rsidRPr="003C72DA">
        <w:t xml:space="preserve">June </w:t>
      </w:r>
      <w:r w:rsidR="00EC4813" w:rsidRPr="003C72DA">
        <w:t>11</w:t>
      </w:r>
      <w:r w:rsidR="00452E47" w:rsidRPr="003C72DA">
        <w:t>, 2024</w:t>
      </w:r>
      <w:r w:rsidR="00452E47" w:rsidRPr="0096784A">
        <w:t>.</w:t>
      </w:r>
      <w:r w:rsidR="00CB635F">
        <w:rPr>
          <w:rFonts w:cstheme="minorHAnsi"/>
          <w:color w:val="000000"/>
        </w:rPr>
        <w:t xml:space="preserve">  </w:t>
      </w:r>
      <w:r w:rsidR="00EA0BCF" w:rsidRPr="0096784A">
        <w:rPr>
          <w:rFonts w:cstheme="minorHAnsi"/>
          <w:color w:val="000000"/>
        </w:rPr>
        <w:t>Sealed envelopes shall be marked “Bid Response Honey Hill Road Remediation RFP # 2024 – 001</w:t>
      </w:r>
      <w:r w:rsidR="00EA0BCF">
        <w:rPr>
          <w:rFonts w:cstheme="minorHAnsi"/>
          <w:color w:val="000000"/>
        </w:rPr>
        <w:t xml:space="preserve">.”  </w:t>
      </w:r>
      <w:r w:rsidR="00CB635F">
        <w:rPr>
          <w:rFonts w:cstheme="minorHAnsi"/>
          <w:color w:val="000000"/>
        </w:rPr>
        <w:t>The sealed bid shall also include the Contractor’s email address.</w:t>
      </w:r>
      <w:r w:rsidR="00CB635F" w:rsidRPr="0096784A">
        <w:rPr>
          <w:rFonts w:cstheme="minorHAnsi"/>
          <w:color w:val="000000"/>
        </w:rPr>
        <w:t xml:space="preserve"> </w:t>
      </w:r>
    </w:p>
    <w:p w14:paraId="6B06D81B" w14:textId="77777777" w:rsidR="00CB635F" w:rsidRDefault="00CB635F" w:rsidP="00452E47">
      <w:pPr>
        <w:rPr>
          <w:sz w:val="22"/>
          <w:szCs w:val="22"/>
        </w:rPr>
      </w:pPr>
    </w:p>
    <w:p w14:paraId="2B9C6AC8" w14:textId="3E58AD8D" w:rsidR="00452E47" w:rsidRPr="0096784A" w:rsidRDefault="003B3D18" w:rsidP="00452E47">
      <w:pPr>
        <w:rPr>
          <w:sz w:val="22"/>
          <w:szCs w:val="22"/>
        </w:rPr>
      </w:pPr>
      <w:r w:rsidRPr="0096784A">
        <w:rPr>
          <w:sz w:val="22"/>
          <w:szCs w:val="22"/>
        </w:rPr>
        <w:t>Bids should be addressed to:</w:t>
      </w:r>
    </w:p>
    <w:p w14:paraId="6B9CF6EA" w14:textId="77777777" w:rsidR="003B3D18" w:rsidRPr="0096784A" w:rsidRDefault="003B3D18" w:rsidP="003B3D18">
      <w:pPr>
        <w:pStyle w:val="NoSpacing"/>
        <w:ind w:firstLine="720"/>
        <w:jc w:val="left"/>
        <w:rPr>
          <w:rFonts w:cstheme="minorHAnsi"/>
          <w:color w:val="000000"/>
        </w:rPr>
      </w:pPr>
      <w:r w:rsidRPr="0096784A">
        <w:rPr>
          <w:rFonts w:cstheme="minorHAnsi"/>
          <w:color w:val="000000"/>
        </w:rPr>
        <w:t>East Haddam Land Trust, Inc.</w:t>
      </w:r>
    </w:p>
    <w:p w14:paraId="7FB95368" w14:textId="6214D644" w:rsidR="003B3D18" w:rsidRPr="0096784A" w:rsidRDefault="003B3D18" w:rsidP="003B3D18">
      <w:pPr>
        <w:pStyle w:val="NoSpacing"/>
        <w:ind w:firstLine="720"/>
        <w:jc w:val="left"/>
        <w:rPr>
          <w:rFonts w:cstheme="minorHAnsi"/>
          <w:color w:val="000000"/>
        </w:rPr>
      </w:pPr>
      <w:r w:rsidRPr="0096784A">
        <w:rPr>
          <w:rFonts w:cstheme="minorHAnsi"/>
          <w:color w:val="000000"/>
        </w:rPr>
        <w:t>Attention</w:t>
      </w:r>
      <w:r w:rsidR="00970913">
        <w:rPr>
          <w:rFonts w:cstheme="minorHAnsi"/>
          <w:color w:val="000000"/>
        </w:rPr>
        <w:t>: Cameron Beard</w:t>
      </w:r>
    </w:p>
    <w:p w14:paraId="03C1CC46" w14:textId="77777777" w:rsidR="003B3D18" w:rsidRPr="0096784A" w:rsidRDefault="003B3D18" w:rsidP="003B3D18">
      <w:pPr>
        <w:pStyle w:val="NoSpacing"/>
        <w:ind w:firstLine="720"/>
        <w:jc w:val="left"/>
        <w:rPr>
          <w:rFonts w:cstheme="minorHAnsi"/>
          <w:color w:val="000000"/>
        </w:rPr>
      </w:pPr>
      <w:r w:rsidRPr="0096784A">
        <w:rPr>
          <w:rFonts w:cstheme="minorHAnsi"/>
          <w:color w:val="000000"/>
        </w:rPr>
        <w:t>P.O. Box 122</w:t>
      </w:r>
    </w:p>
    <w:p w14:paraId="3CC646E9" w14:textId="77777777" w:rsidR="003B3D18" w:rsidRPr="0096784A" w:rsidRDefault="003B3D18" w:rsidP="003B3D18">
      <w:pPr>
        <w:pStyle w:val="NoSpacing"/>
        <w:ind w:firstLine="720"/>
        <w:jc w:val="left"/>
        <w:rPr>
          <w:rFonts w:cstheme="minorHAnsi"/>
          <w:color w:val="000000"/>
        </w:rPr>
      </w:pPr>
      <w:r w:rsidRPr="0096784A">
        <w:rPr>
          <w:rFonts w:cstheme="minorHAnsi"/>
          <w:color w:val="000000"/>
        </w:rPr>
        <w:t>East Haddam, CT 06423</w:t>
      </w:r>
    </w:p>
    <w:p w14:paraId="32AEF641" w14:textId="77777777" w:rsidR="006E7FD5" w:rsidRPr="0096784A" w:rsidRDefault="006E7FD5" w:rsidP="006E7FD5">
      <w:pPr>
        <w:pStyle w:val="NoSpacing"/>
        <w:jc w:val="left"/>
        <w:rPr>
          <w:rFonts w:cstheme="minorHAnsi"/>
          <w:color w:val="000000"/>
        </w:rPr>
      </w:pPr>
    </w:p>
    <w:p w14:paraId="13476816" w14:textId="37D9D264" w:rsidR="006E7FD5" w:rsidRPr="0096784A" w:rsidRDefault="006E7FD5" w:rsidP="00452E47">
      <w:pPr>
        <w:rPr>
          <w:sz w:val="22"/>
          <w:szCs w:val="22"/>
        </w:rPr>
      </w:pPr>
      <w:r w:rsidRPr="0096784A">
        <w:rPr>
          <w:sz w:val="22"/>
          <w:szCs w:val="22"/>
        </w:rPr>
        <w:t xml:space="preserve">A mandatory pre-bid site walk will be conducted </w:t>
      </w:r>
      <w:bookmarkStart w:id="0" w:name="_Hlk162341804"/>
      <w:r w:rsidRPr="0096784A">
        <w:rPr>
          <w:sz w:val="22"/>
          <w:szCs w:val="22"/>
        </w:rPr>
        <w:t xml:space="preserve">at 10 a.m. on </w:t>
      </w:r>
      <w:r w:rsidR="00B9082C" w:rsidRPr="00124519">
        <w:rPr>
          <w:sz w:val="22"/>
          <w:szCs w:val="22"/>
        </w:rPr>
        <w:t>May 31</w:t>
      </w:r>
      <w:r w:rsidR="00D91F60" w:rsidRPr="00124519">
        <w:rPr>
          <w:sz w:val="22"/>
          <w:szCs w:val="22"/>
        </w:rPr>
        <w:t>, 2024</w:t>
      </w:r>
      <w:r w:rsidRPr="0096784A">
        <w:rPr>
          <w:sz w:val="22"/>
          <w:szCs w:val="22"/>
        </w:rPr>
        <w:t>.</w:t>
      </w:r>
      <w:bookmarkEnd w:id="0"/>
      <w:r w:rsidR="0096784A">
        <w:rPr>
          <w:sz w:val="22"/>
          <w:szCs w:val="22"/>
        </w:rPr>
        <w:t xml:space="preserve">  </w:t>
      </w:r>
      <w:r w:rsidRPr="0096784A">
        <w:rPr>
          <w:sz w:val="22"/>
          <w:szCs w:val="22"/>
        </w:rPr>
        <w:t xml:space="preserve">Questions regarding this request for proposal shall be emailed to </w:t>
      </w:r>
      <w:r w:rsidR="00D91F60">
        <w:rPr>
          <w:sz w:val="22"/>
          <w:szCs w:val="22"/>
        </w:rPr>
        <w:t>stewardship@ehlt.org</w:t>
      </w:r>
      <w:r w:rsidRPr="0096784A">
        <w:rPr>
          <w:sz w:val="22"/>
          <w:szCs w:val="22"/>
        </w:rPr>
        <w:t xml:space="preserve"> by at 2 p.m.  on </w:t>
      </w:r>
      <w:r w:rsidR="00214312" w:rsidRPr="00124519">
        <w:rPr>
          <w:sz w:val="22"/>
          <w:szCs w:val="22"/>
        </w:rPr>
        <w:t>June 4</w:t>
      </w:r>
      <w:r w:rsidR="00D91F60" w:rsidRPr="00124519">
        <w:rPr>
          <w:sz w:val="22"/>
          <w:szCs w:val="22"/>
        </w:rPr>
        <w:t>, 2024</w:t>
      </w:r>
      <w:r w:rsidRPr="00124519">
        <w:rPr>
          <w:sz w:val="22"/>
          <w:szCs w:val="22"/>
        </w:rPr>
        <w:t>.</w:t>
      </w:r>
      <w:r w:rsidRPr="0096784A">
        <w:rPr>
          <w:sz w:val="22"/>
          <w:szCs w:val="22"/>
        </w:rPr>
        <w:t xml:space="preserve"> </w:t>
      </w:r>
      <w:r w:rsidR="00916FCD">
        <w:rPr>
          <w:sz w:val="22"/>
          <w:szCs w:val="22"/>
        </w:rPr>
        <w:t>Responses to questions received</w:t>
      </w:r>
      <w:r w:rsidR="001A05EF">
        <w:rPr>
          <w:sz w:val="22"/>
          <w:szCs w:val="22"/>
        </w:rPr>
        <w:t xml:space="preserve"> </w:t>
      </w:r>
      <w:r w:rsidR="00E5509D">
        <w:rPr>
          <w:sz w:val="22"/>
          <w:szCs w:val="22"/>
        </w:rPr>
        <w:t>from the bidders</w:t>
      </w:r>
      <w:r w:rsidR="00916FCD">
        <w:rPr>
          <w:sz w:val="22"/>
          <w:szCs w:val="22"/>
        </w:rPr>
        <w:t xml:space="preserve"> will be provided </w:t>
      </w:r>
      <w:r w:rsidR="001A05EF">
        <w:rPr>
          <w:sz w:val="22"/>
          <w:szCs w:val="22"/>
        </w:rPr>
        <w:t>with</w:t>
      </w:r>
      <w:r w:rsidR="00E5509D">
        <w:rPr>
          <w:sz w:val="22"/>
          <w:szCs w:val="22"/>
        </w:rPr>
        <w:t>in</w:t>
      </w:r>
      <w:r w:rsidR="001A05EF">
        <w:rPr>
          <w:sz w:val="22"/>
          <w:szCs w:val="22"/>
        </w:rPr>
        <w:t xml:space="preserve"> a</w:t>
      </w:r>
      <w:r w:rsidRPr="0096784A">
        <w:rPr>
          <w:sz w:val="22"/>
          <w:szCs w:val="22"/>
        </w:rPr>
        <w:t>n addendum</w:t>
      </w:r>
      <w:r w:rsidR="001A05EF">
        <w:rPr>
          <w:sz w:val="22"/>
          <w:szCs w:val="22"/>
        </w:rPr>
        <w:t xml:space="preserve"> that</w:t>
      </w:r>
      <w:r w:rsidRPr="0096784A">
        <w:rPr>
          <w:sz w:val="22"/>
          <w:szCs w:val="22"/>
        </w:rPr>
        <w:t xml:space="preserve"> will be emailed to the prospective bidders </w:t>
      </w:r>
      <w:r w:rsidR="00C16AF3" w:rsidRPr="003E43BD">
        <w:rPr>
          <w:sz w:val="22"/>
          <w:szCs w:val="22"/>
        </w:rPr>
        <w:t>June 6,</w:t>
      </w:r>
      <w:r w:rsidR="00325127" w:rsidRPr="003E43BD">
        <w:rPr>
          <w:sz w:val="22"/>
          <w:szCs w:val="22"/>
        </w:rPr>
        <w:t xml:space="preserve"> 2024</w:t>
      </w:r>
      <w:r w:rsidRPr="003E43BD">
        <w:rPr>
          <w:sz w:val="22"/>
          <w:szCs w:val="22"/>
        </w:rPr>
        <w:t>.</w:t>
      </w:r>
      <w:r w:rsidRPr="0096784A">
        <w:rPr>
          <w:sz w:val="22"/>
          <w:szCs w:val="22"/>
        </w:rPr>
        <w:t xml:space="preserve"> </w:t>
      </w:r>
    </w:p>
    <w:p w14:paraId="02569E68" w14:textId="5586A5A5" w:rsidR="00C12EE8" w:rsidRPr="0096784A" w:rsidRDefault="002A14E1">
      <w:pPr>
        <w:rPr>
          <w:sz w:val="22"/>
          <w:szCs w:val="22"/>
        </w:rPr>
      </w:pPr>
      <w:r w:rsidRPr="0096784A">
        <w:rPr>
          <w:sz w:val="22"/>
          <w:szCs w:val="22"/>
        </w:rPr>
        <w:t xml:space="preserve">Work under the Contract must be completed by </w:t>
      </w:r>
      <w:r w:rsidR="00EC4813" w:rsidRPr="003E43BD">
        <w:rPr>
          <w:sz w:val="22"/>
          <w:szCs w:val="22"/>
        </w:rPr>
        <w:t>July 15</w:t>
      </w:r>
      <w:r w:rsidRPr="003E43BD">
        <w:rPr>
          <w:sz w:val="22"/>
          <w:szCs w:val="22"/>
        </w:rPr>
        <w:t>, 2024</w:t>
      </w:r>
      <w:r w:rsidR="00C12EE8" w:rsidRPr="0096784A">
        <w:rPr>
          <w:sz w:val="22"/>
          <w:szCs w:val="22"/>
        </w:rPr>
        <w:t>.</w:t>
      </w:r>
      <w:r w:rsidR="00FD4492" w:rsidRPr="0096784A">
        <w:rPr>
          <w:sz w:val="22"/>
          <w:szCs w:val="22"/>
        </w:rPr>
        <w:t xml:space="preserve">  All bids shall remain </w:t>
      </w:r>
      <w:r w:rsidR="000537DD" w:rsidRPr="0096784A">
        <w:rPr>
          <w:sz w:val="22"/>
          <w:szCs w:val="22"/>
        </w:rPr>
        <w:t xml:space="preserve">irrevocable for </w:t>
      </w:r>
      <w:r w:rsidR="006E7FD5" w:rsidRPr="0096784A">
        <w:rPr>
          <w:sz w:val="22"/>
          <w:szCs w:val="22"/>
        </w:rPr>
        <w:t xml:space="preserve">ninety </w:t>
      </w:r>
      <w:r w:rsidR="000537DD" w:rsidRPr="0096784A">
        <w:rPr>
          <w:sz w:val="22"/>
          <w:szCs w:val="22"/>
        </w:rPr>
        <w:t>days after submission.</w:t>
      </w:r>
    </w:p>
    <w:p w14:paraId="78F4182E" w14:textId="2E9D61B0" w:rsidR="001026A1" w:rsidRDefault="001026A1" w:rsidP="00136C3A">
      <w:pPr>
        <w:pStyle w:val="NoSpacing"/>
        <w:jc w:val="left"/>
        <w:rPr>
          <w:rFonts w:cstheme="minorHAnsi"/>
          <w:color w:val="000000"/>
        </w:rPr>
      </w:pPr>
      <w:r w:rsidRPr="0096784A">
        <w:t xml:space="preserve">A valid certificate or certificates confirming the Contractor’s liability and workers compensation </w:t>
      </w:r>
      <w:r w:rsidR="00FF6F54" w:rsidRPr="0096784A">
        <w:t>coverage must be submitted with the bid.</w:t>
      </w:r>
      <w:r w:rsidR="0096784A">
        <w:t xml:space="preserve"> A certificate of insurance identifying the following coverage shall be provided, upon </w:t>
      </w:r>
      <w:r w:rsidR="00136C3A">
        <w:t>award</w:t>
      </w:r>
      <w:r w:rsidR="0096784A">
        <w:t xml:space="preserve">, naming the </w:t>
      </w:r>
      <w:r w:rsidR="0096784A" w:rsidRPr="0096784A">
        <w:rPr>
          <w:rFonts w:cstheme="minorHAnsi"/>
          <w:color w:val="000000"/>
        </w:rPr>
        <w:t>East Haddam Land Trust, Inc</w:t>
      </w:r>
      <w:r w:rsidR="0096784A">
        <w:rPr>
          <w:rFonts w:cstheme="minorHAnsi"/>
          <w:color w:val="000000"/>
        </w:rPr>
        <w:t xml:space="preserve">. </w:t>
      </w:r>
      <w:r w:rsidR="00E873C0" w:rsidRPr="008E697A">
        <w:rPr>
          <w:rFonts w:cstheme="minorHAnsi"/>
          <w:color w:val="000000"/>
        </w:rPr>
        <w:t xml:space="preserve">and </w:t>
      </w:r>
      <w:r w:rsidR="00A76BE1" w:rsidRPr="008E697A">
        <w:rPr>
          <w:rFonts w:cstheme="minorHAnsi"/>
          <w:color w:val="000000"/>
        </w:rPr>
        <w:t>the State of Connecticut Department of Energy and Environmental Protection</w:t>
      </w:r>
      <w:r w:rsidR="00E873C0">
        <w:rPr>
          <w:rFonts w:cstheme="minorHAnsi"/>
          <w:color w:val="000000"/>
        </w:rPr>
        <w:t xml:space="preserve"> </w:t>
      </w:r>
      <w:r w:rsidR="0096784A">
        <w:rPr>
          <w:rFonts w:cstheme="minorHAnsi"/>
          <w:color w:val="000000"/>
        </w:rPr>
        <w:t xml:space="preserve">as additionally insured. </w:t>
      </w:r>
    </w:p>
    <w:p w14:paraId="2DE7F407" w14:textId="77777777" w:rsidR="0096784A" w:rsidRDefault="0096784A" w:rsidP="0096784A">
      <w:pPr>
        <w:pStyle w:val="NoSpacing"/>
        <w:ind w:firstLine="720"/>
        <w:jc w:val="left"/>
        <w:rPr>
          <w:rFonts w:cstheme="minorHAnsi"/>
          <w:color w:val="000000"/>
        </w:rPr>
      </w:pPr>
    </w:p>
    <w:p w14:paraId="2790C7B4" w14:textId="318F1039" w:rsidR="00416AA2" w:rsidRDefault="0096784A" w:rsidP="0096784A">
      <w:pPr>
        <w:pStyle w:val="NoSpacing"/>
        <w:ind w:firstLine="720"/>
        <w:jc w:val="left"/>
        <w:rPr>
          <w:rFonts w:cstheme="minorHAnsi"/>
          <w:color w:val="000000"/>
        </w:rPr>
      </w:pPr>
      <w:r>
        <w:rPr>
          <w:rFonts w:cstheme="minorHAnsi"/>
          <w:color w:val="000000"/>
        </w:rPr>
        <w:t>Insurance Requirements:</w:t>
      </w:r>
      <w:r w:rsidR="00F60DE9">
        <w:rPr>
          <w:rFonts w:cstheme="minorHAnsi"/>
          <w:color w:val="000000"/>
        </w:rPr>
        <w:t xml:space="preserve"> </w:t>
      </w:r>
    </w:p>
    <w:p w14:paraId="4DA7986B" w14:textId="77777777" w:rsidR="00416AA2" w:rsidRDefault="00416AA2" w:rsidP="0096784A">
      <w:pPr>
        <w:pStyle w:val="NoSpacing"/>
        <w:ind w:firstLine="720"/>
        <w:jc w:val="left"/>
        <w:rPr>
          <w:rFonts w:cstheme="minorHAnsi"/>
          <w:color w:val="000000"/>
        </w:rPr>
      </w:pPr>
    </w:p>
    <w:p w14:paraId="591D14C4" w14:textId="77777777" w:rsidR="00416AA2" w:rsidRDefault="00F60DE9" w:rsidP="0096784A">
      <w:pPr>
        <w:pStyle w:val="NoSpacing"/>
        <w:ind w:firstLine="720"/>
        <w:jc w:val="left"/>
        <w:rPr>
          <w:rFonts w:cstheme="minorHAnsi"/>
          <w:color w:val="000000"/>
        </w:rPr>
      </w:pPr>
      <w:r>
        <w:rPr>
          <w:rFonts w:cstheme="minorHAnsi"/>
          <w:color w:val="000000"/>
        </w:rPr>
        <w:t xml:space="preserve">Workers Compensation </w:t>
      </w:r>
      <w:r w:rsidR="00416AA2">
        <w:rPr>
          <w:rFonts w:cstheme="minorHAnsi"/>
          <w:color w:val="000000"/>
        </w:rPr>
        <w:t>– Statutory Limits</w:t>
      </w:r>
    </w:p>
    <w:p w14:paraId="7526F51B" w14:textId="305DB360" w:rsidR="00136C3A" w:rsidRDefault="00416AA2" w:rsidP="00E873C0">
      <w:pPr>
        <w:pStyle w:val="NoSpacing"/>
        <w:ind w:firstLine="720"/>
        <w:jc w:val="left"/>
        <w:rPr>
          <w:rFonts w:cstheme="minorHAnsi"/>
          <w:color w:val="000000"/>
        </w:rPr>
      </w:pPr>
      <w:r>
        <w:rPr>
          <w:rFonts w:cstheme="minorHAnsi"/>
          <w:color w:val="000000"/>
        </w:rPr>
        <w:t xml:space="preserve">Comprehensive </w:t>
      </w:r>
      <w:r w:rsidR="00E873C0">
        <w:rPr>
          <w:rFonts w:cstheme="minorHAnsi"/>
          <w:color w:val="000000"/>
        </w:rPr>
        <w:t>General Liability</w:t>
      </w:r>
      <w:r>
        <w:rPr>
          <w:rFonts w:cstheme="minorHAnsi"/>
          <w:color w:val="000000"/>
        </w:rPr>
        <w:t xml:space="preserve"> - $500,000</w:t>
      </w:r>
    </w:p>
    <w:p w14:paraId="2E43E7FB" w14:textId="77777777" w:rsidR="00E873C0" w:rsidRDefault="00E873C0" w:rsidP="00E873C0">
      <w:pPr>
        <w:pStyle w:val="NoSpacing"/>
        <w:ind w:firstLine="720"/>
        <w:jc w:val="left"/>
        <w:rPr>
          <w:rFonts w:cstheme="minorHAnsi"/>
          <w:color w:val="000000"/>
        </w:rPr>
      </w:pPr>
    </w:p>
    <w:p w14:paraId="602D11D1" w14:textId="290295A6" w:rsidR="00136C3A" w:rsidRDefault="00136C3A" w:rsidP="003120C2">
      <w:pPr>
        <w:pStyle w:val="NoSpacing"/>
        <w:jc w:val="left"/>
        <w:rPr>
          <w:rFonts w:cstheme="minorHAnsi"/>
          <w:color w:val="000000"/>
        </w:rPr>
      </w:pPr>
      <w:r>
        <w:rPr>
          <w:rFonts w:cstheme="minorHAnsi"/>
          <w:color w:val="000000"/>
        </w:rPr>
        <w:t xml:space="preserve">The Contractor shall comply with necessary health and safety and environmental compliance requirements at no additional cost to the Client. </w:t>
      </w:r>
    </w:p>
    <w:p w14:paraId="57178FDD" w14:textId="77777777" w:rsidR="003120C2" w:rsidRPr="003120C2" w:rsidRDefault="003120C2" w:rsidP="003120C2">
      <w:pPr>
        <w:pStyle w:val="NoSpacing"/>
        <w:jc w:val="left"/>
        <w:rPr>
          <w:rFonts w:cstheme="minorHAnsi"/>
          <w:color w:val="000000"/>
        </w:rPr>
      </w:pPr>
    </w:p>
    <w:p w14:paraId="133597B0" w14:textId="3A3CC2B8" w:rsidR="00C12EE8" w:rsidRDefault="00C12EE8">
      <w:pPr>
        <w:rPr>
          <w:b/>
          <w:bCs/>
          <w:sz w:val="22"/>
          <w:szCs w:val="22"/>
        </w:rPr>
      </w:pPr>
      <w:r w:rsidRPr="0096784A">
        <w:rPr>
          <w:b/>
          <w:bCs/>
          <w:sz w:val="22"/>
          <w:szCs w:val="22"/>
        </w:rPr>
        <w:t>S</w:t>
      </w:r>
      <w:r w:rsidR="00136C3A">
        <w:rPr>
          <w:b/>
          <w:bCs/>
          <w:sz w:val="22"/>
          <w:szCs w:val="22"/>
        </w:rPr>
        <w:t>COPE OF WORK</w:t>
      </w:r>
    </w:p>
    <w:p w14:paraId="6EEFB0ED" w14:textId="6F887FE8" w:rsidR="00D07E77" w:rsidRDefault="0096784A">
      <w:pPr>
        <w:rPr>
          <w:sz w:val="22"/>
          <w:szCs w:val="22"/>
        </w:rPr>
      </w:pPr>
      <w:r>
        <w:rPr>
          <w:sz w:val="22"/>
          <w:szCs w:val="22"/>
        </w:rPr>
        <w:t xml:space="preserve">The nature of the project will include the excavation of farm dump materials, regulated disposal, and area backfill and restoration.  </w:t>
      </w:r>
      <w:r w:rsidR="00D07E77">
        <w:rPr>
          <w:sz w:val="22"/>
          <w:szCs w:val="22"/>
        </w:rPr>
        <w:t xml:space="preserve">Prior to the remediation activities the Contractor will install silt fence </w:t>
      </w:r>
      <w:r w:rsidR="00D07E77">
        <w:rPr>
          <w:sz w:val="22"/>
          <w:szCs w:val="22"/>
        </w:rPr>
        <w:lastRenderedPageBreak/>
        <w:t xml:space="preserve">surrounding the </w:t>
      </w:r>
      <w:r w:rsidR="00136C3A">
        <w:rPr>
          <w:sz w:val="22"/>
          <w:szCs w:val="22"/>
        </w:rPr>
        <w:t>work area</w:t>
      </w:r>
      <w:r w:rsidR="00D07E77">
        <w:rPr>
          <w:sz w:val="22"/>
          <w:szCs w:val="22"/>
        </w:rPr>
        <w:t xml:space="preserve">. The </w:t>
      </w:r>
      <w:r w:rsidR="00B61FDB">
        <w:rPr>
          <w:sz w:val="22"/>
          <w:szCs w:val="22"/>
        </w:rPr>
        <w:t>C</w:t>
      </w:r>
      <w:r w:rsidR="00D07E77">
        <w:rPr>
          <w:sz w:val="22"/>
          <w:szCs w:val="22"/>
        </w:rPr>
        <w:t xml:space="preserve">ontractor will not be responsible for obtaining permits, if necessary, with the Town of East Haddam.  </w:t>
      </w:r>
    </w:p>
    <w:p w14:paraId="5406E048" w14:textId="21946910" w:rsidR="00D07E77" w:rsidRDefault="0096784A">
      <w:pPr>
        <w:rPr>
          <w:sz w:val="22"/>
          <w:szCs w:val="22"/>
        </w:rPr>
      </w:pPr>
      <w:r>
        <w:rPr>
          <w:sz w:val="22"/>
          <w:szCs w:val="22"/>
        </w:rPr>
        <w:t xml:space="preserve">It is anticipated </w:t>
      </w:r>
      <w:r w:rsidR="00F94E71">
        <w:rPr>
          <w:sz w:val="22"/>
          <w:szCs w:val="22"/>
        </w:rPr>
        <w:t xml:space="preserve">that </w:t>
      </w:r>
      <w:r>
        <w:rPr>
          <w:sz w:val="22"/>
          <w:szCs w:val="22"/>
        </w:rPr>
        <w:t>the remediation e</w:t>
      </w:r>
      <w:r w:rsidR="00C12EE8" w:rsidRPr="0096784A">
        <w:rPr>
          <w:sz w:val="22"/>
          <w:szCs w:val="22"/>
        </w:rPr>
        <w:t xml:space="preserve">xcavation </w:t>
      </w:r>
      <w:r>
        <w:rPr>
          <w:sz w:val="22"/>
          <w:szCs w:val="22"/>
        </w:rPr>
        <w:t xml:space="preserve">will be approximately </w:t>
      </w:r>
      <w:r w:rsidR="00C12EE8" w:rsidRPr="0096784A">
        <w:rPr>
          <w:sz w:val="22"/>
          <w:szCs w:val="22"/>
        </w:rPr>
        <w:t>7</w:t>
      </w:r>
      <w:r>
        <w:rPr>
          <w:sz w:val="22"/>
          <w:szCs w:val="22"/>
        </w:rPr>
        <w:t>0</w:t>
      </w:r>
      <w:r w:rsidR="00C12EE8" w:rsidRPr="0096784A">
        <w:rPr>
          <w:sz w:val="22"/>
          <w:szCs w:val="22"/>
        </w:rPr>
        <w:t xml:space="preserve"> – </w:t>
      </w:r>
      <w:r>
        <w:rPr>
          <w:sz w:val="22"/>
          <w:szCs w:val="22"/>
        </w:rPr>
        <w:t>100</w:t>
      </w:r>
      <w:r w:rsidR="00C12EE8" w:rsidRPr="0096784A">
        <w:rPr>
          <w:sz w:val="22"/>
          <w:szCs w:val="22"/>
        </w:rPr>
        <w:t xml:space="preserve"> cubic yards (anticipated </w:t>
      </w:r>
      <w:r>
        <w:rPr>
          <w:sz w:val="22"/>
          <w:szCs w:val="22"/>
        </w:rPr>
        <w:t>100</w:t>
      </w:r>
      <w:r w:rsidR="00C12EE8" w:rsidRPr="0096784A">
        <w:rPr>
          <w:sz w:val="22"/>
          <w:szCs w:val="22"/>
        </w:rPr>
        <w:t xml:space="preserve"> – 1</w:t>
      </w:r>
      <w:r>
        <w:rPr>
          <w:sz w:val="22"/>
          <w:szCs w:val="22"/>
        </w:rPr>
        <w:t>40</w:t>
      </w:r>
      <w:r w:rsidR="00C12EE8" w:rsidRPr="0096784A">
        <w:rPr>
          <w:sz w:val="22"/>
          <w:szCs w:val="22"/>
        </w:rPr>
        <w:t xml:space="preserve"> tons) </w:t>
      </w:r>
      <w:r>
        <w:rPr>
          <w:sz w:val="22"/>
          <w:szCs w:val="22"/>
        </w:rPr>
        <w:t xml:space="preserve">in size from an area measuring approximately 640 square feet.  </w:t>
      </w:r>
      <w:r w:rsidR="00D07E77">
        <w:rPr>
          <w:sz w:val="22"/>
          <w:szCs w:val="22"/>
        </w:rPr>
        <w:t xml:space="preserve">The depth of the excavation is anticipated to range from three to five feet below grade surface.  </w:t>
      </w:r>
    </w:p>
    <w:p w14:paraId="40565304" w14:textId="34CDAEF7" w:rsidR="00D07E77" w:rsidRDefault="00D07E77">
      <w:pPr>
        <w:rPr>
          <w:sz w:val="22"/>
          <w:szCs w:val="22"/>
        </w:rPr>
      </w:pPr>
      <w:r>
        <w:rPr>
          <w:sz w:val="22"/>
          <w:szCs w:val="22"/>
        </w:rPr>
        <w:t xml:space="preserve">Surface debris from an area of </w:t>
      </w:r>
      <w:r w:rsidR="007D0B5A">
        <w:rPr>
          <w:sz w:val="22"/>
          <w:szCs w:val="22"/>
        </w:rPr>
        <w:t>approximately</w:t>
      </w:r>
      <w:r>
        <w:rPr>
          <w:sz w:val="22"/>
          <w:szCs w:val="22"/>
        </w:rPr>
        <w:t xml:space="preserve"> 5,000 square feet, not included within the soil excavation area, will be </w:t>
      </w:r>
      <w:proofErr w:type="gramStart"/>
      <w:r w:rsidR="007D0B5A">
        <w:rPr>
          <w:sz w:val="22"/>
          <w:szCs w:val="22"/>
        </w:rPr>
        <w:t>handpicked</w:t>
      </w:r>
      <w:proofErr w:type="gramEnd"/>
      <w:r>
        <w:rPr>
          <w:sz w:val="22"/>
          <w:szCs w:val="22"/>
        </w:rPr>
        <w:t xml:space="preserve"> and raked.</w:t>
      </w:r>
    </w:p>
    <w:p w14:paraId="23286F25" w14:textId="3AFA2480" w:rsidR="00D07E77" w:rsidRDefault="00D07E77">
      <w:pPr>
        <w:rPr>
          <w:sz w:val="22"/>
          <w:szCs w:val="22"/>
        </w:rPr>
      </w:pPr>
      <w:r>
        <w:rPr>
          <w:sz w:val="22"/>
          <w:szCs w:val="22"/>
        </w:rPr>
        <w:t>The soil excavation and debris mitigation will be overseen by the Client</w:t>
      </w:r>
      <w:r w:rsidR="00F94E71">
        <w:rPr>
          <w:sz w:val="22"/>
          <w:szCs w:val="22"/>
        </w:rPr>
        <w:t>’</w:t>
      </w:r>
      <w:r>
        <w:rPr>
          <w:sz w:val="22"/>
          <w:szCs w:val="22"/>
        </w:rPr>
        <w:t xml:space="preserve">s environmental consultant. </w:t>
      </w:r>
      <w:r w:rsidR="00136C3A">
        <w:rPr>
          <w:sz w:val="22"/>
          <w:szCs w:val="22"/>
        </w:rPr>
        <w:t xml:space="preserve"> </w:t>
      </w:r>
      <w:r>
        <w:rPr>
          <w:sz w:val="22"/>
          <w:szCs w:val="22"/>
        </w:rPr>
        <w:t>Upon completion of the soil remediation and debris mitigation, the Client</w:t>
      </w:r>
      <w:r w:rsidR="00F94E71">
        <w:rPr>
          <w:sz w:val="22"/>
          <w:szCs w:val="22"/>
        </w:rPr>
        <w:t>’</w:t>
      </w:r>
      <w:r>
        <w:rPr>
          <w:sz w:val="22"/>
          <w:szCs w:val="22"/>
        </w:rPr>
        <w:t>s environmental consultant will visually inspect the areas and collect soil confirmation samples for analytical testing.  It is anticipated that the analytical results will be received within two weeks of collection.  If requested</w:t>
      </w:r>
      <w:r w:rsidR="00136C3A">
        <w:rPr>
          <w:sz w:val="22"/>
          <w:szCs w:val="22"/>
        </w:rPr>
        <w:t>,</w:t>
      </w:r>
      <w:r>
        <w:rPr>
          <w:sz w:val="22"/>
          <w:szCs w:val="22"/>
        </w:rPr>
        <w:t xml:space="preserve"> the Contractor will return to the Site and complete any additional remediation and mitigation activities.</w:t>
      </w:r>
    </w:p>
    <w:p w14:paraId="7A1D21C8" w14:textId="4CF35DBF" w:rsidR="00697A66" w:rsidRDefault="00D07E77">
      <w:pPr>
        <w:rPr>
          <w:sz w:val="22"/>
          <w:szCs w:val="22"/>
        </w:rPr>
      </w:pPr>
      <w:r>
        <w:rPr>
          <w:sz w:val="22"/>
          <w:szCs w:val="22"/>
        </w:rPr>
        <w:t xml:space="preserve">The Contractor will be responsible for the loading, transportation, and </w:t>
      </w:r>
      <w:r w:rsidR="00697A66">
        <w:rPr>
          <w:sz w:val="22"/>
          <w:szCs w:val="22"/>
        </w:rPr>
        <w:t>disposal</w:t>
      </w:r>
      <w:r>
        <w:rPr>
          <w:sz w:val="22"/>
          <w:szCs w:val="22"/>
        </w:rPr>
        <w:t xml:space="preserve"> fees </w:t>
      </w:r>
      <w:r w:rsidR="00697A66">
        <w:rPr>
          <w:sz w:val="22"/>
          <w:szCs w:val="22"/>
        </w:rPr>
        <w:t>associated</w:t>
      </w:r>
      <w:r>
        <w:rPr>
          <w:sz w:val="22"/>
          <w:szCs w:val="22"/>
        </w:rPr>
        <w:t xml:space="preserve"> with the disposal of the soil and mitigation materials.  It is anticipated that the </w:t>
      </w:r>
      <w:r w:rsidR="00697A66">
        <w:rPr>
          <w:sz w:val="22"/>
          <w:szCs w:val="22"/>
        </w:rPr>
        <w:t>soil</w:t>
      </w:r>
      <w:r w:rsidR="00136C3A">
        <w:rPr>
          <w:sz w:val="22"/>
          <w:szCs w:val="22"/>
        </w:rPr>
        <w:t xml:space="preserve"> / material </w:t>
      </w:r>
      <w:r w:rsidR="00697A66">
        <w:rPr>
          <w:sz w:val="22"/>
          <w:szCs w:val="22"/>
        </w:rPr>
        <w:t xml:space="preserve">disposal will be as a Connecticut Regulated waste.   A copy of the investigation and analytical reports conducted to date are attached as Appendix A.  </w:t>
      </w:r>
      <w:r w:rsidR="00BA31D7" w:rsidRPr="008B461A">
        <w:rPr>
          <w:sz w:val="22"/>
          <w:szCs w:val="22"/>
        </w:rPr>
        <w:t xml:space="preserve">If additional </w:t>
      </w:r>
      <w:r w:rsidR="00BC72EC" w:rsidRPr="008B461A">
        <w:rPr>
          <w:sz w:val="22"/>
          <w:szCs w:val="22"/>
        </w:rPr>
        <w:t>reports</w:t>
      </w:r>
      <w:r w:rsidR="00BA31D7" w:rsidRPr="008B461A">
        <w:rPr>
          <w:sz w:val="22"/>
          <w:szCs w:val="22"/>
        </w:rPr>
        <w:t xml:space="preserve"> are </w:t>
      </w:r>
      <w:r w:rsidR="002C13A4" w:rsidRPr="008B461A">
        <w:rPr>
          <w:sz w:val="22"/>
          <w:szCs w:val="22"/>
        </w:rPr>
        <w:t xml:space="preserve">prepared for the </w:t>
      </w:r>
      <w:r w:rsidR="00DB5FF5" w:rsidRPr="008B461A">
        <w:rPr>
          <w:sz w:val="22"/>
          <w:szCs w:val="22"/>
        </w:rPr>
        <w:t>site after the bid walk</w:t>
      </w:r>
      <w:r w:rsidR="002C13A4" w:rsidRPr="008B461A">
        <w:rPr>
          <w:sz w:val="22"/>
          <w:szCs w:val="22"/>
        </w:rPr>
        <w:t xml:space="preserve">, they will be </w:t>
      </w:r>
      <w:proofErr w:type="gramStart"/>
      <w:r w:rsidR="002C13A4" w:rsidRPr="008B461A">
        <w:rPr>
          <w:sz w:val="22"/>
          <w:szCs w:val="22"/>
        </w:rPr>
        <w:t xml:space="preserve">provided </w:t>
      </w:r>
      <w:r w:rsidR="00BC72EC" w:rsidRPr="008B461A">
        <w:rPr>
          <w:sz w:val="22"/>
          <w:szCs w:val="22"/>
        </w:rPr>
        <w:t xml:space="preserve"> before</w:t>
      </w:r>
      <w:proofErr w:type="gramEnd"/>
      <w:r w:rsidR="00BC72EC" w:rsidRPr="008B461A">
        <w:rPr>
          <w:sz w:val="22"/>
          <w:szCs w:val="22"/>
        </w:rPr>
        <w:t xml:space="preserve"> work commences.</w:t>
      </w:r>
      <w:r w:rsidR="00BC72EC">
        <w:rPr>
          <w:sz w:val="22"/>
          <w:szCs w:val="22"/>
        </w:rPr>
        <w:t xml:space="preserve">  </w:t>
      </w:r>
      <w:r w:rsidR="00697A66">
        <w:rPr>
          <w:sz w:val="22"/>
          <w:szCs w:val="22"/>
        </w:rPr>
        <w:t xml:space="preserve">The Client will arrange for final characterization and facility profile acceptance.  At this </w:t>
      </w:r>
      <w:r w:rsidR="007D0B5A">
        <w:rPr>
          <w:sz w:val="22"/>
          <w:szCs w:val="22"/>
        </w:rPr>
        <w:t>time,</w:t>
      </w:r>
      <w:r w:rsidR="00697A66">
        <w:rPr>
          <w:sz w:val="22"/>
          <w:szCs w:val="22"/>
        </w:rPr>
        <w:t xml:space="preserve"> it is anticipated the material will be accepted for disposal at one or more of the following facilities: </w:t>
      </w:r>
    </w:p>
    <w:p w14:paraId="30AC0264" w14:textId="77777777" w:rsidR="00697A66" w:rsidRDefault="00697A66">
      <w:pPr>
        <w:rPr>
          <w:sz w:val="22"/>
          <w:szCs w:val="22"/>
        </w:rPr>
      </w:pPr>
      <w:r>
        <w:rPr>
          <w:sz w:val="22"/>
          <w:szCs w:val="22"/>
        </w:rPr>
        <w:tab/>
        <w:t>Manchester Land Fill, Manchester CT</w:t>
      </w:r>
    </w:p>
    <w:p w14:paraId="54A79D0A" w14:textId="00434B4A" w:rsidR="00697A66" w:rsidRDefault="00697A66">
      <w:pPr>
        <w:rPr>
          <w:sz w:val="22"/>
          <w:szCs w:val="22"/>
        </w:rPr>
      </w:pPr>
      <w:r>
        <w:rPr>
          <w:sz w:val="22"/>
          <w:szCs w:val="22"/>
        </w:rPr>
        <w:tab/>
        <w:t>Red Tech, Portland CT</w:t>
      </w:r>
    </w:p>
    <w:p w14:paraId="0CF8E0F2" w14:textId="0FA7F9D0" w:rsidR="00C12EE8" w:rsidRPr="0096784A" w:rsidRDefault="00697A66">
      <w:pPr>
        <w:rPr>
          <w:sz w:val="22"/>
          <w:szCs w:val="22"/>
        </w:rPr>
      </w:pPr>
      <w:r>
        <w:rPr>
          <w:sz w:val="22"/>
          <w:szCs w:val="22"/>
        </w:rPr>
        <w:t xml:space="preserve">Stockpiling of material will not </w:t>
      </w:r>
      <w:r w:rsidR="00136C3A">
        <w:rPr>
          <w:sz w:val="22"/>
          <w:szCs w:val="22"/>
        </w:rPr>
        <w:t xml:space="preserve">be </w:t>
      </w:r>
      <w:r>
        <w:rPr>
          <w:sz w:val="22"/>
          <w:szCs w:val="22"/>
        </w:rPr>
        <w:t>authorized.  The Contractor shall direct load the soil and mitigation material into dump trucks or dumpsters.  Containerized materials, if necessary, shall not be staged on</w:t>
      </w:r>
      <w:r w:rsidR="00136C3A">
        <w:rPr>
          <w:sz w:val="22"/>
          <w:szCs w:val="22"/>
        </w:rPr>
        <w:t>-</w:t>
      </w:r>
      <w:r w:rsidR="000811FA">
        <w:rPr>
          <w:sz w:val="22"/>
          <w:szCs w:val="22"/>
        </w:rPr>
        <w:t>s</w:t>
      </w:r>
      <w:r w:rsidR="00136C3A">
        <w:rPr>
          <w:sz w:val="22"/>
          <w:szCs w:val="22"/>
        </w:rPr>
        <w:t>ite</w:t>
      </w:r>
      <w:r>
        <w:rPr>
          <w:sz w:val="22"/>
          <w:szCs w:val="22"/>
        </w:rPr>
        <w:t xml:space="preserve"> for more than 1 week.  </w:t>
      </w:r>
      <w:r w:rsidR="00FA1F02" w:rsidRPr="0096784A">
        <w:rPr>
          <w:sz w:val="22"/>
          <w:szCs w:val="22"/>
        </w:rPr>
        <w:t xml:space="preserve">Note that </w:t>
      </w:r>
      <w:r w:rsidR="008B2AAD" w:rsidRPr="0096784A">
        <w:rPr>
          <w:sz w:val="22"/>
          <w:szCs w:val="22"/>
        </w:rPr>
        <w:t xml:space="preserve">all </w:t>
      </w:r>
      <w:r w:rsidR="00FA1F02" w:rsidRPr="0096784A">
        <w:rPr>
          <w:sz w:val="22"/>
          <w:szCs w:val="22"/>
        </w:rPr>
        <w:t xml:space="preserve">fees to be paid to the </w:t>
      </w:r>
      <w:r>
        <w:rPr>
          <w:sz w:val="22"/>
          <w:szCs w:val="22"/>
        </w:rPr>
        <w:t xml:space="preserve">disposal </w:t>
      </w:r>
      <w:r w:rsidR="00FA1F02" w:rsidRPr="0096784A">
        <w:rPr>
          <w:sz w:val="22"/>
          <w:szCs w:val="22"/>
        </w:rPr>
        <w:t>facility</w:t>
      </w:r>
      <w:r>
        <w:rPr>
          <w:sz w:val="22"/>
          <w:szCs w:val="22"/>
        </w:rPr>
        <w:t xml:space="preserve"> (s)</w:t>
      </w:r>
      <w:r w:rsidR="00FA1F02" w:rsidRPr="0096784A">
        <w:rPr>
          <w:sz w:val="22"/>
          <w:szCs w:val="22"/>
        </w:rPr>
        <w:t xml:space="preserve">, which </w:t>
      </w:r>
      <w:r w:rsidR="008B2AAD" w:rsidRPr="0096784A">
        <w:rPr>
          <w:sz w:val="22"/>
          <w:szCs w:val="22"/>
        </w:rPr>
        <w:t xml:space="preserve">and </w:t>
      </w:r>
      <w:r w:rsidR="00452E47" w:rsidRPr="0096784A">
        <w:rPr>
          <w:sz w:val="22"/>
          <w:szCs w:val="22"/>
        </w:rPr>
        <w:t xml:space="preserve">all </w:t>
      </w:r>
      <w:r w:rsidR="008B2AAD" w:rsidRPr="0096784A">
        <w:rPr>
          <w:sz w:val="22"/>
          <w:szCs w:val="22"/>
        </w:rPr>
        <w:t xml:space="preserve">other related costs, </w:t>
      </w:r>
      <w:r w:rsidR="00487A2C" w:rsidRPr="0096784A">
        <w:rPr>
          <w:sz w:val="22"/>
          <w:szCs w:val="22"/>
        </w:rPr>
        <w:t xml:space="preserve">must </w:t>
      </w:r>
      <w:r w:rsidR="00FA1F02" w:rsidRPr="0096784A">
        <w:rPr>
          <w:sz w:val="22"/>
          <w:szCs w:val="22"/>
        </w:rPr>
        <w:t>be included in the bid.</w:t>
      </w:r>
    </w:p>
    <w:p w14:paraId="612A98BE" w14:textId="4AE3157B" w:rsidR="00C12EE8" w:rsidRPr="00136C3A" w:rsidRDefault="00697A66">
      <w:pPr>
        <w:rPr>
          <w:sz w:val="22"/>
          <w:szCs w:val="22"/>
        </w:rPr>
      </w:pPr>
      <w:r>
        <w:rPr>
          <w:sz w:val="22"/>
          <w:szCs w:val="22"/>
        </w:rPr>
        <w:t>Once approved by the Client</w:t>
      </w:r>
      <w:r w:rsidR="00136C3A">
        <w:rPr>
          <w:sz w:val="22"/>
          <w:szCs w:val="22"/>
        </w:rPr>
        <w:t>,</w:t>
      </w:r>
      <w:r>
        <w:rPr>
          <w:sz w:val="22"/>
          <w:szCs w:val="22"/>
        </w:rPr>
        <w:t xml:space="preserve"> the contractor shall return to the Site and </w:t>
      </w:r>
      <w:r w:rsidR="00B30D06">
        <w:rPr>
          <w:sz w:val="22"/>
          <w:szCs w:val="22"/>
        </w:rPr>
        <w:t>provide for the i</w:t>
      </w:r>
      <w:r w:rsidR="00C12EE8" w:rsidRPr="0096784A">
        <w:rPr>
          <w:sz w:val="22"/>
          <w:szCs w:val="22"/>
        </w:rPr>
        <w:t>mport</w:t>
      </w:r>
      <w:r w:rsidR="00BC40D0" w:rsidRPr="0096784A">
        <w:rPr>
          <w:sz w:val="22"/>
          <w:szCs w:val="22"/>
        </w:rPr>
        <w:t>ation</w:t>
      </w:r>
      <w:r w:rsidR="00C12EE8" w:rsidRPr="0096784A">
        <w:rPr>
          <w:sz w:val="22"/>
          <w:szCs w:val="22"/>
        </w:rPr>
        <w:t xml:space="preserve"> and place</w:t>
      </w:r>
      <w:r w:rsidR="00BC40D0" w:rsidRPr="0096784A">
        <w:rPr>
          <w:sz w:val="22"/>
          <w:szCs w:val="22"/>
        </w:rPr>
        <w:t>ment of</w:t>
      </w:r>
      <w:r w:rsidR="00C12EE8" w:rsidRPr="0096784A">
        <w:rPr>
          <w:sz w:val="22"/>
          <w:szCs w:val="22"/>
        </w:rPr>
        <w:t xml:space="preserve"> approximately </w:t>
      </w:r>
      <w:r w:rsidR="00DD224D">
        <w:rPr>
          <w:sz w:val="22"/>
          <w:szCs w:val="22"/>
        </w:rPr>
        <w:t>100</w:t>
      </w:r>
      <w:r w:rsidR="00C12EE8" w:rsidRPr="0096784A">
        <w:rPr>
          <w:sz w:val="22"/>
          <w:szCs w:val="22"/>
        </w:rPr>
        <w:t xml:space="preserve"> yards of topsoil/loam materials, </w:t>
      </w:r>
      <w:r w:rsidR="00B30D06">
        <w:rPr>
          <w:sz w:val="22"/>
          <w:szCs w:val="22"/>
        </w:rPr>
        <w:t xml:space="preserve">provide </w:t>
      </w:r>
      <w:r w:rsidR="00C12EE8" w:rsidRPr="0096784A">
        <w:rPr>
          <w:sz w:val="22"/>
          <w:szCs w:val="22"/>
        </w:rPr>
        <w:t>grad</w:t>
      </w:r>
      <w:r w:rsidR="00BC40D0" w:rsidRPr="0096784A">
        <w:rPr>
          <w:sz w:val="22"/>
          <w:szCs w:val="22"/>
        </w:rPr>
        <w:t>ing</w:t>
      </w:r>
      <w:r w:rsidR="00C12EE8" w:rsidRPr="0096784A">
        <w:rPr>
          <w:sz w:val="22"/>
          <w:szCs w:val="22"/>
        </w:rPr>
        <w:t xml:space="preserve"> </w:t>
      </w:r>
      <w:r w:rsidR="00B30D06">
        <w:rPr>
          <w:sz w:val="22"/>
          <w:szCs w:val="22"/>
        </w:rPr>
        <w:t>to similar pre</w:t>
      </w:r>
      <w:r w:rsidR="00C90051">
        <w:rPr>
          <w:sz w:val="22"/>
          <w:szCs w:val="22"/>
        </w:rPr>
        <w:t>-</w:t>
      </w:r>
      <w:r w:rsidR="00B30D06">
        <w:rPr>
          <w:sz w:val="22"/>
          <w:szCs w:val="22"/>
        </w:rPr>
        <w:t xml:space="preserve">excavation conditions, </w:t>
      </w:r>
      <w:r w:rsidR="00C12EE8" w:rsidRPr="0096784A">
        <w:rPr>
          <w:sz w:val="22"/>
          <w:szCs w:val="22"/>
        </w:rPr>
        <w:t xml:space="preserve">and </w:t>
      </w:r>
      <w:r w:rsidR="00B30D06">
        <w:rPr>
          <w:sz w:val="22"/>
          <w:szCs w:val="22"/>
        </w:rPr>
        <w:t xml:space="preserve">provide </w:t>
      </w:r>
      <w:r w:rsidR="00C12EE8" w:rsidRPr="0096784A">
        <w:rPr>
          <w:sz w:val="22"/>
          <w:szCs w:val="22"/>
        </w:rPr>
        <w:t>seed</w:t>
      </w:r>
      <w:r w:rsidR="00BC40D0" w:rsidRPr="0096784A">
        <w:rPr>
          <w:sz w:val="22"/>
          <w:szCs w:val="22"/>
        </w:rPr>
        <w:t>ing</w:t>
      </w:r>
      <w:r w:rsidR="00FA1F02" w:rsidRPr="0096784A">
        <w:rPr>
          <w:sz w:val="22"/>
          <w:szCs w:val="22"/>
        </w:rPr>
        <w:t xml:space="preserve"> </w:t>
      </w:r>
      <w:r w:rsidR="00B30D06">
        <w:rPr>
          <w:sz w:val="22"/>
          <w:szCs w:val="22"/>
        </w:rPr>
        <w:t>with a shade / meadow mix.  The source of the topsoil / loam materials shall be noted within the Contractor</w:t>
      </w:r>
      <w:r w:rsidR="00C90051">
        <w:rPr>
          <w:sz w:val="22"/>
          <w:szCs w:val="22"/>
        </w:rPr>
        <w:t>’</w:t>
      </w:r>
      <w:r w:rsidR="00B30D06">
        <w:rPr>
          <w:sz w:val="22"/>
          <w:szCs w:val="22"/>
        </w:rPr>
        <w:t xml:space="preserve">s bid response.  It is expected the topsoil / loam material will be from a virgin soil cut and or decomposed leaf </w:t>
      </w:r>
      <w:r w:rsidR="00136C3A">
        <w:rPr>
          <w:sz w:val="22"/>
          <w:szCs w:val="22"/>
        </w:rPr>
        <w:t xml:space="preserve">recalling </w:t>
      </w:r>
      <w:r w:rsidR="00B30D06">
        <w:rPr>
          <w:sz w:val="22"/>
          <w:szCs w:val="22"/>
        </w:rPr>
        <w:t xml:space="preserve">processing facility. The </w:t>
      </w:r>
      <w:r w:rsidR="00B30D06" w:rsidRPr="00136C3A">
        <w:rPr>
          <w:sz w:val="22"/>
          <w:szCs w:val="22"/>
        </w:rPr>
        <w:t xml:space="preserve">Contractor will not be responsible for the removal of the silt fence. </w:t>
      </w:r>
    </w:p>
    <w:p w14:paraId="60E91551" w14:textId="09487E75" w:rsidR="00591AA3" w:rsidRDefault="00B30D06">
      <w:pPr>
        <w:rPr>
          <w:sz w:val="22"/>
          <w:szCs w:val="22"/>
        </w:rPr>
      </w:pPr>
      <w:r w:rsidRPr="00136C3A">
        <w:rPr>
          <w:sz w:val="22"/>
          <w:szCs w:val="22"/>
        </w:rPr>
        <w:t xml:space="preserve">The contractor will be responsible for the restoration of any staging areas and vehicle ruts and damage caused between the work area and public road. </w:t>
      </w:r>
    </w:p>
    <w:p w14:paraId="3D27FD42" w14:textId="77777777" w:rsidR="00591AA3" w:rsidRDefault="00591AA3">
      <w:pPr>
        <w:rPr>
          <w:sz w:val="22"/>
          <w:szCs w:val="22"/>
        </w:rPr>
      </w:pPr>
      <w:r>
        <w:rPr>
          <w:sz w:val="22"/>
          <w:szCs w:val="22"/>
        </w:rPr>
        <w:br w:type="page"/>
      </w:r>
    </w:p>
    <w:p w14:paraId="62B65E32" w14:textId="77777777" w:rsidR="00B30D06" w:rsidRDefault="00B30D06">
      <w:pPr>
        <w:rPr>
          <w:sz w:val="22"/>
          <w:szCs w:val="22"/>
        </w:rPr>
      </w:pPr>
    </w:p>
    <w:p w14:paraId="453F5571" w14:textId="77777777" w:rsidR="003120C2" w:rsidRPr="00136C3A" w:rsidRDefault="003120C2">
      <w:pPr>
        <w:rPr>
          <w:sz w:val="22"/>
          <w:szCs w:val="22"/>
        </w:rPr>
      </w:pPr>
    </w:p>
    <w:p w14:paraId="46459040" w14:textId="561EDE47" w:rsidR="008F35DE" w:rsidRPr="00136C3A" w:rsidRDefault="008F35DE" w:rsidP="00136C3A">
      <w:pPr>
        <w:rPr>
          <w:rFonts w:cstheme="minorHAnsi"/>
          <w:b/>
          <w:bCs/>
          <w:sz w:val="22"/>
          <w:szCs w:val="22"/>
        </w:rPr>
      </w:pPr>
      <w:r>
        <w:rPr>
          <w:rFonts w:cstheme="minorHAnsi"/>
          <w:b/>
          <w:bCs/>
          <w:sz w:val="22"/>
          <w:szCs w:val="22"/>
        </w:rPr>
        <w:t>Bid Sheet</w:t>
      </w:r>
    </w:p>
    <w:tbl>
      <w:tblPr>
        <w:tblStyle w:val="TableGrid"/>
        <w:tblW w:w="0" w:type="auto"/>
        <w:tblLook w:val="04A0" w:firstRow="1" w:lastRow="0" w:firstColumn="1" w:lastColumn="0" w:noHBand="0" w:noVBand="1"/>
      </w:tblPr>
      <w:tblGrid>
        <w:gridCol w:w="1274"/>
        <w:gridCol w:w="3131"/>
        <w:gridCol w:w="1440"/>
        <w:gridCol w:w="1890"/>
        <w:gridCol w:w="1615"/>
      </w:tblGrid>
      <w:tr w:rsidR="007D0B5A" w:rsidRPr="00136C3A" w14:paraId="110DD1BE" w14:textId="77777777" w:rsidTr="003B6562">
        <w:tc>
          <w:tcPr>
            <w:tcW w:w="9350" w:type="dxa"/>
            <w:gridSpan w:val="5"/>
            <w:shd w:val="clear" w:color="auto" w:fill="C1F0C7" w:themeFill="accent3" w:themeFillTint="33"/>
          </w:tcPr>
          <w:p w14:paraId="2412E10B" w14:textId="54523512" w:rsidR="007D0B5A" w:rsidRPr="0096784A" w:rsidRDefault="007D0B5A" w:rsidP="00136C3A">
            <w:pPr>
              <w:jc w:val="center"/>
              <w:rPr>
                <w:b/>
                <w:bCs/>
              </w:rPr>
            </w:pPr>
            <w:r>
              <w:rPr>
                <w:rFonts w:cstheme="minorHAnsi"/>
                <w:b/>
                <w:bCs/>
              </w:rPr>
              <w:t>CTDEEP G</w:t>
            </w:r>
            <w:r w:rsidRPr="00136C3A">
              <w:rPr>
                <w:rFonts w:cstheme="minorHAnsi"/>
                <w:b/>
                <w:bCs/>
              </w:rPr>
              <w:t xml:space="preserve">rant </w:t>
            </w:r>
            <w:r w:rsidRPr="0096784A">
              <w:rPr>
                <w:b/>
                <w:bCs/>
              </w:rPr>
              <w:t>Farm Dump Soil Remediation Honey Hill Farm</w:t>
            </w:r>
          </w:p>
          <w:p w14:paraId="6ABA18C2" w14:textId="2EB4B9F6" w:rsidR="007D0B5A" w:rsidRPr="00136C3A" w:rsidRDefault="007D0B5A" w:rsidP="00136C3A">
            <w:pPr>
              <w:spacing w:after="160" w:line="278" w:lineRule="auto"/>
              <w:jc w:val="center"/>
              <w:rPr>
                <w:rFonts w:cstheme="minorHAnsi"/>
                <w:b/>
                <w:bCs/>
              </w:rPr>
            </w:pPr>
            <w:r w:rsidRPr="0096784A">
              <w:rPr>
                <w:b/>
                <w:bCs/>
              </w:rPr>
              <w:t>103 Honey Hill Road, East Haddam CT</w:t>
            </w:r>
          </w:p>
          <w:p w14:paraId="4EAE555E" w14:textId="70C701DD" w:rsidR="007D0B5A" w:rsidRPr="00136C3A" w:rsidRDefault="007D0B5A" w:rsidP="00A319C6">
            <w:pPr>
              <w:jc w:val="center"/>
              <w:rPr>
                <w:rFonts w:cstheme="minorHAnsi"/>
                <w:b/>
                <w:bCs/>
              </w:rPr>
            </w:pPr>
          </w:p>
        </w:tc>
      </w:tr>
      <w:tr w:rsidR="00DD224D" w:rsidRPr="00136C3A" w14:paraId="62365F23" w14:textId="77777777" w:rsidTr="006549DC">
        <w:tc>
          <w:tcPr>
            <w:tcW w:w="1274" w:type="dxa"/>
          </w:tcPr>
          <w:p w14:paraId="5A3418AC" w14:textId="77777777" w:rsidR="00DD224D" w:rsidRPr="00DD224D" w:rsidRDefault="00DD224D" w:rsidP="00DD224D">
            <w:pPr>
              <w:jc w:val="center"/>
              <w:rPr>
                <w:rFonts w:cstheme="minorHAnsi"/>
                <w:b/>
                <w:bCs/>
              </w:rPr>
            </w:pPr>
            <w:r w:rsidRPr="00DD224D">
              <w:rPr>
                <w:rFonts w:cstheme="minorHAnsi"/>
                <w:b/>
                <w:bCs/>
              </w:rPr>
              <w:t>Task</w:t>
            </w:r>
          </w:p>
        </w:tc>
        <w:tc>
          <w:tcPr>
            <w:tcW w:w="3131" w:type="dxa"/>
          </w:tcPr>
          <w:p w14:paraId="1BA37699" w14:textId="77777777" w:rsidR="00DD224D" w:rsidRPr="00DD224D" w:rsidRDefault="00DD224D" w:rsidP="00DD224D">
            <w:pPr>
              <w:jc w:val="center"/>
              <w:rPr>
                <w:rFonts w:cstheme="minorHAnsi"/>
                <w:b/>
                <w:bCs/>
              </w:rPr>
            </w:pPr>
            <w:r w:rsidRPr="00DD224D">
              <w:rPr>
                <w:rFonts w:cstheme="minorHAnsi"/>
                <w:b/>
                <w:bCs/>
              </w:rPr>
              <w:t>Description</w:t>
            </w:r>
          </w:p>
        </w:tc>
        <w:tc>
          <w:tcPr>
            <w:tcW w:w="1440" w:type="dxa"/>
          </w:tcPr>
          <w:p w14:paraId="69098593" w14:textId="77777777" w:rsidR="00DD224D" w:rsidRPr="00DD224D" w:rsidRDefault="00DD224D" w:rsidP="00DD224D">
            <w:pPr>
              <w:jc w:val="center"/>
              <w:rPr>
                <w:rFonts w:cstheme="minorHAnsi"/>
                <w:b/>
                <w:bCs/>
              </w:rPr>
            </w:pPr>
            <w:r w:rsidRPr="00DD224D">
              <w:rPr>
                <w:rFonts w:cstheme="minorHAnsi"/>
                <w:b/>
                <w:bCs/>
              </w:rPr>
              <w:t>Fee Type</w:t>
            </w:r>
          </w:p>
        </w:tc>
        <w:tc>
          <w:tcPr>
            <w:tcW w:w="1890" w:type="dxa"/>
          </w:tcPr>
          <w:p w14:paraId="07603343" w14:textId="0F7D42F0" w:rsidR="00DD224D" w:rsidRPr="00DD224D" w:rsidRDefault="00DD224D" w:rsidP="00DD224D">
            <w:pPr>
              <w:jc w:val="center"/>
              <w:rPr>
                <w:rFonts w:cstheme="minorHAnsi"/>
                <w:b/>
                <w:bCs/>
              </w:rPr>
            </w:pPr>
            <w:r w:rsidRPr="00DD224D">
              <w:rPr>
                <w:rFonts w:cstheme="minorHAnsi"/>
                <w:b/>
                <w:bCs/>
              </w:rPr>
              <w:t>Timeframe to Complete in Days</w:t>
            </w:r>
          </w:p>
        </w:tc>
        <w:tc>
          <w:tcPr>
            <w:tcW w:w="1615" w:type="dxa"/>
          </w:tcPr>
          <w:p w14:paraId="2D5648DF" w14:textId="25494036" w:rsidR="00DD224D" w:rsidRPr="00DD224D" w:rsidRDefault="00DD224D" w:rsidP="00DD224D">
            <w:pPr>
              <w:jc w:val="center"/>
              <w:rPr>
                <w:rFonts w:cstheme="minorHAnsi"/>
                <w:b/>
                <w:bCs/>
              </w:rPr>
            </w:pPr>
            <w:r w:rsidRPr="00DD224D">
              <w:rPr>
                <w:rFonts w:cstheme="minorHAnsi"/>
                <w:b/>
                <w:bCs/>
              </w:rPr>
              <w:t>Fee</w:t>
            </w:r>
          </w:p>
        </w:tc>
      </w:tr>
      <w:tr w:rsidR="00DD224D" w:rsidRPr="00136C3A" w14:paraId="56C0FEF2" w14:textId="77777777" w:rsidTr="006549DC">
        <w:tc>
          <w:tcPr>
            <w:tcW w:w="1274" w:type="dxa"/>
          </w:tcPr>
          <w:p w14:paraId="5AECB088" w14:textId="77777777" w:rsidR="00DD224D" w:rsidRPr="00DD224D" w:rsidRDefault="00DD224D" w:rsidP="00A319C6">
            <w:pPr>
              <w:jc w:val="center"/>
              <w:rPr>
                <w:rFonts w:cstheme="minorHAnsi"/>
              </w:rPr>
            </w:pPr>
            <w:r w:rsidRPr="00DD224D">
              <w:rPr>
                <w:rFonts w:cstheme="minorHAnsi"/>
              </w:rPr>
              <w:t>1</w:t>
            </w:r>
          </w:p>
        </w:tc>
        <w:tc>
          <w:tcPr>
            <w:tcW w:w="3131" w:type="dxa"/>
          </w:tcPr>
          <w:p w14:paraId="453D440C" w14:textId="5D2238E0" w:rsidR="00DD224D" w:rsidRPr="00DD224D" w:rsidRDefault="00DD224D" w:rsidP="00A319C6">
            <w:pPr>
              <w:autoSpaceDE w:val="0"/>
              <w:autoSpaceDN w:val="0"/>
              <w:rPr>
                <w:rFonts w:cstheme="minorHAnsi"/>
              </w:rPr>
            </w:pPr>
            <w:r w:rsidRPr="00DD224D">
              <w:rPr>
                <w:rFonts w:cstheme="minorHAnsi"/>
              </w:rPr>
              <w:t xml:space="preserve">Mobilization and Silt Fence Installation </w:t>
            </w:r>
          </w:p>
        </w:tc>
        <w:tc>
          <w:tcPr>
            <w:tcW w:w="1440" w:type="dxa"/>
          </w:tcPr>
          <w:p w14:paraId="5A6856C0" w14:textId="77777777" w:rsidR="00DD224D" w:rsidRPr="00DD224D" w:rsidRDefault="00DD224D" w:rsidP="00A319C6">
            <w:pPr>
              <w:rPr>
                <w:rFonts w:cstheme="minorHAnsi"/>
              </w:rPr>
            </w:pPr>
            <w:r w:rsidRPr="00DD224D">
              <w:rPr>
                <w:rFonts w:cstheme="minorHAnsi"/>
              </w:rPr>
              <w:t>Fixed Fee</w:t>
            </w:r>
          </w:p>
        </w:tc>
        <w:tc>
          <w:tcPr>
            <w:tcW w:w="1890" w:type="dxa"/>
          </w:tcPr>
          <w:p w14:paraId="2F2A7D6B" w14:textId="77777777" w:rsidR="00DD224D" w:rsidRPr="00DD224D" w:rsidRDefault="00DD224D" w:rsidP="00A319C6">
            <w:pPr>
              <w:rPr>
                <w:rFonts w:cstheme="minorHAnsi"/>
              </w:rPr>
            </w:pPr>
          </w:p>
        </w:tc>
        <w:tc>
          <w:tcPr>
            <w:tcW w:w="1615" w:type="dxa"/>
          </w:tcPr>
          <w:p w14:paraId="6FD4EE25" w14:textId="109B4172" w:rsidR="00DD224D" w:rsidRPr="00DD224D" w:rsidRDefault="00DD224D" w:rsidP="00A319C6">
            <w:pPr>
              <w:rPr>
                <w:rFonts w:cstheme="minorHAnsi"/>
              </w:rPr>
            </w:pPr>
            <w:r w:rsidRPr="00DD224D">
              <w:rPr>
                <w:rFonts w:cstheme="minorHAnsi"/>
              </w:rPr>
              <w:t xml:space="preserve">$ </w:t>
            </w:r>
          </w:p>
        </w:tc>
      </w:tr>
      <w:tr w:rsidR="00DD224D" w:rsidRPr="00136C3A" w14:paraId="46367EB4" w14:textId="77777777" w:rsidTr="006549DC">
        <w:tc>
          <w:tcPr>
            <w:tcW w:w="1274" w:type="dxa"/>
          </w:tcPr>
          <w:p w14:paraId="45016D58" w14:textId="77777777" w:rsidR="00DD224D" w:rsidRPr="00DD224D" w:rsidRDefault="00DD224D" w:rsidP="00A319C6">
            <w:pPr>
              <w:jc w:val="center"/>
              <w:rPr>
                <w:rFonts w:cstheme="minorHAnsi"/>
              </w:rPr>
            </w:pPr>
            <w:r w:rsidRPr="00DD224D">
              <w:rPr>
                <w:rFonts w:cstheme="minorHAnsi"/>
              </w:rPr>
              <w:t xml:space="preserve">2 </w:t>
            </w:r>
          </w:p>
        </w:tc>
        <w:tc>
          <w:tcPr>
            <w:tcW w:w="3131" w:type="dxa"/>
          </w:tcPr>
          <w:p w14:paraId="62CCA43B" w14:textId="353FA8E4" w:rsidR="00DD224D" w:rsidRPr="00DD224D" w:rsidRDefault="00DD224D" w:rsidP="00A319C6">
            <w:pPr>
              <w:autoSpaceDE w:val="0"/>
              <w:autoSpaceDN w:val="0"/>
              <w:rPr>
                <w:rFonts w:cstheme="minorHAnsi"/>
              </w:rPr>
            </w:pPr>
            <w:r w:rsidRPr="00DD224D">
              <w:rPr>
                <w:rFonts w:cstheme="minorHAnsi"/>
              </w:rPr>
              <w:t xml:space="preserve">Excavation and loading of up to 100 yards of mixed soil / farm sump material </w:t>
            </w:r>
          </w:p>
        </w:tc>
        <w:tc>
          <w:tcPr>
            <w:tcW w:w="1440" w:type="dxa"/>
          </w:tcPr>
          <w:p w14:paraId="5FC54E6A" w14:textId="0A6C3AC1" w:rsidR="00DD224D" w:rsidRPr="00DD224D" w:rsidRDefault="00DD224D" w:rsidP="00A319C6">
            <w:pPr>
              <w:rPr>
                <w:rFonts w:cstheme="minorHAnsi"/>
              </w:rPr>
            </w:pPr>
            <w:r w:rsidRPr="00DD224D">
              <w:rPr>
                <w:rFonts w:cstheme="minorHAnsi"/>
              </w:rPr>
              <w:t xml:space="preserve">Fixed Fee </w:t>
            </w:r>
          </w:p>
        </w:tc>
        <w:tc>
          <w:tcPr>
            <w:tcW w:w="1890" w:type="dxa"/>
          </w:tcPr>
          <w:p w14:paraId="66D1C28E" w14:textId="77777777" w:rsidR="00DD224D" w:rsidRPr="00DD224D" w:rsidRDefault="00DD224D" w:rsidP="00A319C6">
            <w:pPr>
              <w:rPr>
                <w:rFonts w:cstheme="minorHAnsi"/>
              </w:rPr>
            </w:pPr>
          </w:p>
        </w:tc>
        <w:tc>
          <w:tcPr>
            <w:tcW w:w="1615" w:type="dxa"/>
          </w:tcPr>
          <w:p w14:paraId="2F5E1053" w14:textId="0C1A44E5" w:rsidR="00DD224D" w:rsidRPr="00DD224D" w:rsidRDefault="00DD224D" w:rsidP="00A319C6">
            <w:pPr>
              <w:rPr>
                <w:rFonts w:cstheme="minorHAnsi"/>
              </w:rPr>
            </w:pPr>
          </w:p>
          <w:p w14:paraId="46A5157F" w14:textId="77777777" w:rsidR="00DD224D" w:rsidRPr="00DD224D" w:rsidRDefault="00DD224D" w:rsidP="00A319C6">
            <w:pPr>
              <w:rPr>
                <w:rFonts w:cstheme="minorHAnsi"/>
              </w:rPr>
            </w:pPr>
            <w:r w:rsidRPr="00DD224D">
              <w:rPr>
                <w:rFonts w:cstheme="minorHAnsi"/>
              </w:rPr>
              <w:t>$</w:t>
            </w:r>
          </w:p>
        </w:tc>
      </w:tr>
      <w:tr w:rsidR="00DD224D" w:rsidRPr="00136C3A" w14:paraId="2DD429DB" w14:textId="77777777" w:rsidTr="006549DC">
        <w:tc>
          <w:tcPr>
            <w:tcW w:w="1274" w:type="dxa"/>
          </w:tcPr>
          <w:p w14:paraId="33A7A9DD" w14:textId="2C0DF8D3" w:rsidR="00DD224D" w:rsidRPr="00DD224D" w:rsidRDefault="00DD224D" w:rsidP="00A319C6">
            <w:pPr>
              <w:jc w:val="center"/>
              <w:rPr>
                <w:rFonts w:cstheme="minorHAnsi"/>
              </w:rPr>
            </w:pPr>
            <w:r w:rsidRPr="00DD224D">
              <w:rPr>
                <w:rFonts w:cstheme="minorHAnsi"/>
              </w:rPr>
              <w:t>3</w:t>
            </w:r>
          </w:p>
        </w:tc>
        <w:tc>
          <w:tcPr>
            <w:tcW w:w="3131" w:type="dxa"/>
          </w:tcPr>
          <w:p w14:paraId="3BA13EED" w14:textId="7FB34D8B" w:rsidR="00DD224D" w:rsidRPr="00DD224D" w:rsidRDefault="00DD224D" w:rsidP="00A319C6">
            <w:pPr>
              <w:autoSpaceDE w:val="0"/>
              <w:autoSpaceDN w:val="0"/>
              <w:rPr>
                <w:rFonts w:cstheme="minorHAnsi"/>
              </w:rPr>
            </w:pPr>
            <w:r w:rsidRPr="00DD224D">
              <w:rPr>
                <w:rFonts w:cstheme="minorHAnsi"/>
              </w:rPr>
              <w:t xml:space="preserve">Hand picking, raking, </w:t>
            </w:r>
            <w:proofErr w:type="gramStart"/>
            <w:r w:rsidRPr="00DD224D">
              <w:rPr>
                <w:rFonts w:cstheme="minorHAnsi"/>
              </w:rPr>
              <w:t>and  loading</w:t>
            </w:r>
            <w:proofErr w:type="gramEnd"/>
            <w:r w:rsidRPr="00DD224D">
              <w:rPr>
                <w:rFonts w:cstheme="minorHAnsi"/>
              </w:rPr>
              <w:t xml:space="preserve"> of surface debris</w:t>
            </w:r>
          </w:p>
        </w:tc>
        <w:tc>
          <w:tcPr>
            <w:tcW w:w="1440" w:type="dxa"/>
          </w:tcPr>
          <w:p w14:paraId="33F7DEC5" w14:textId="0FAA3EE3" w:rsidR="00DD224D" w:rsidRPr="00DD224D" w:rsidRDefault="00DD224D" w:rsidP="00A319C6">
            <w:pPr>
              <w:rPr>
                <w:rFonts w:cstheme="minorHAnsi"/>
              </w:rPr>
            </w:pPr>
            <w:r w:rsidRPr="00DD224D">
              <w:rPr>
                <w:rFonts w:cstheme="minorHAnsi"/>
              </w:rPr>
              <w:t>Fixed Fee</w:t>
            </w:r>
          </w:p>
        </w:tc>
        <w:tc>
          <w:tcPr>
            <w:tcW w:w="1890" w:type="dxa"/>
          </w:tcPr>
          <w:p w14:paraId="60B863B4" w14:textId="77777777" w:rsidR="00DD224D" w:rsidRPr="00DD224D" w:rsidRDefault="00DD224D" w:rsidP="00A319C6">
            <w:pPr>
              <w:rPr>
                <w:rFonts w:cstheme="minorHAnsi"/>
              </w:rPr>
            </w:pPr>
          </w:p>
        </w:tc>
        <w:tc>
          <w:tcPr>
            <w:tcW w:w="1615" w:type="dxa"/>
          </w:tcPr>
          <w:p w14:paraId="4729E8C8" w14:textId="06312E63" w:rsidR="00DD224D" w:rsidRPr="00DD224D" w:rsidRDefault="00DD224D" w:rsidP="00A319C6">
            <w:pPr>
              <w:rPr>
                <w:rFonts w:cstheme="minorHAnsi"/>
              </w:rPr>
            </w:pPr>
            <w:r w:rsidRPr="00DD224D">
              <w:rPr>
                <w:rFonts w:cstheme="minorHAnsi"/>
              </w:rPr>
              <w:t>$</w:t>
            </w:r>
          </w:p>
        </w:tc>
      </w:tr>
      <w:tr w:rsidR="00DD224D" w:rsidRPr="00136C3A" w14:paraId="5D8E8B04" w14:textId="77777777" w:rsidTr="006549DC">
        <w:tc>
          <w:tcPr>
            <w:tcW w:w="1274" w:type="dxa"/>
          </w:tcPr>
          <w:p w14:paraId="51FD1DEE" w14:textId="1FEB74C0" w:rsidR="00DD224D" w:rsidRPr="00DD224D" w:rsidRDefault="00DD224D" w:rsidP="00A319C6">
            <w:pPr>
              <w:jc w:val="center"/>
              <w:rPr>
                <w:rFonts w:cstheme="minorHAnsi"/>
              </w:rPr>
            </w:pPr>
            <w:r w:rsidRPr="00DD224D">
              <w:rPr>
                <w:rFonts w:cstheme="minorHAnsi"/>
              </w:rPr>
              <w:t>4</w:t>
            </w:r>
          </w:p>
        </w:tc>
        <w:tc>
          <w:tcPr>
            <w:tcW w:w="3131" w:type="dxa"/>
          </w:tcPr>
          <w:p w14:paraId="76720AC0" w14:textId="68ED1C69" w:rsidR="00DD224D" w:rsidRPr="00DD224D" w:rsidRDefault="00DD224D" w:rsidP="00A319C6">
            <w:pPr>
              <w:autoSpaceDE w:val="0"/>
              <w:autoSpaceDN w:val="0"/>
              <w:rPr>
                <w:rFonts w:cstheme="minorHAnsi"/>
              </w:rPr>
            </w:pPr>
            <w:r w:rsidRPr="00DD224D">
              <w:rPr>
                <w:rFonts w:cstheme="minorHAnsi"/>
              </w:rPr>
              <w:t xml:space="preserve">Site restoration, import and replacement of 100 yards of topsoil / loam, </w:t>
            </w:r>
            <w:r w:rsidR="006549DC" w:rsidRPr="00DD224D">
              <w:rPr>
                <w:rFonts w:cstheme="minorHAnsi"/>
              </w:rPr>
              <w:t>seed,</w:t>
            </w:r>
            <w:r w:rsidRPr="00DD224D">
              <w:rPr>
                <w:rFonts w:cstheme="minorHAnsi"/>
              </w:rPr>
              <w:t xml:space="preserve"> and demobilization </w:t>
            </w:r>
          </w:p>
        </w:tc>
        <w:tc>
          <w:tcPr>
            <w:tcW w:w="1440" w:type="dxa"/>
          </w:tcPr>
          <w:p w14:paraId="1013590B" w14:textId="00158E0D" w:rsidR="00DD224D" w:rsidRPr="00DD224D" w:rsidRDefault="00DD224D" w:rsidP="00A319C6">
            <w:pPr>
              <w:rPr>
                <w:rFonts w:cstheme="minorHAnsi"/>
              </w:rPr>
            </w:pPr>
            <w:r w:rsidRPr="00DD224D">
              <w:rPr>
                <w:rFonts w:cstheme="minorHAnsi"/>
              </w:rPr>
              <w:t>Fixed Fee</w:t>
            </w:r>
          </w:p>
        </w:tc>
        <w:tc>
          <w:tcPr>
            <w:tcW w:w="1890" w:type="dxa"/>
          </w:tcPr>
          <w:p w14:paraId="514BC70C" w14:textId="77777777" w:rsidR="00DD224D" w:rsidRPr="00DD224D" w:rsidRDefault="00DD224D" w:rsidP="00A319C6">
            <w:pPr>
              <w:rPr>
                <w:rFonts w:cstheme="minorHAnsi"/>
              </w:rPr>
            </w:pPr>
          </w:p>
        </w:tc>
        <w:tc>
          <w:tcPr>
            <w:tcW w:w="1615" w:type="dxa"/>
          </w:tcPr>
          <w:p w14:paraId="631FFF35" w14:textId="27CD4C7B" w:rsidR="00DD224D" w:rsidRPr="00DD224D" w:rsidRDefault="00DD224D" w:rsidP="00A319C6">
            <w:pPr>
              <w:rPr>
                <w:rFonts w:cstheme="minorHAnsi"/>
              </w:rPr>
            </w:pPr>
            <w:r w:rsidRPr="00DD224D">
              <w:rPr>
                <w:rFonts w:cstheme="minorHAnsi"/>
              </w:rPr>
              <w:t>$</w:t>
            </w:r>
          </w:p>
        </w:tc>
      </w:tr>
      <w:tr w:rsidR="006549DC" w:rsidRPr="00136C3A" w14:paraId="7DB07D63" w14:textId="77777777" w:rsidTr="00C834F5">
        <w:tc>
          <w:tcPr>
            <w:tcW w:w="7735" w:type="dxa"/>
            <w:gridSpan w:val="4"/>
          </w:tcPr>
          <w:p w14:paraId="6AC136AD" w14:textId="69F3C870" w:rsidR="006549DC" w:rsidRPr="006549DC" w:rsidRDefault="006549DC" w:rsidP="006549DC">
            <w:pPr>
              <w:jc w:val="right"/>
              <w:rPr>
                <w:rFonts w:cstheme="minorHAnsi"/>
                <w:b/>
                <w:bCs/>
              </w:rPr>
            </w:pPr>
            <w:r w:rsidRPr="006549DC">
              <w:rPr>
                <w:rFonts w:cstheme="minorHAnsi"/>
                <w:b/>
                <w:bCs/>
              </w:rPr>
              <w:t xml:space="preserve">Task 1-4 Subtotal </w:t>
            </w:r>
          </w:p>
        </w:tc>
        <w:tc>
          <w:tcPr>
            <w:tcW w:w="1615" w:type="dxa"/>
          </w:tcPr>
          <w:p w14:paraId="115B7BFE" w14:textId="485D6BCB" w:rsidR="006549DC" w:rsidRPr="006549DC" w:rsidRDefault="006549DC" w:rsidP="009B7300">
            <w:pPr>
              <w:rPr>
                <w:rFonts w:cstheme="minorHAnsi"/>
                <w:b/>
                <w:bCs/>
              </w:rPr>
            </w:pPr>
            <w:r>
              <w:rPr>
                <w:rFonts w:cstheme="minorHAnsi"/>
                <w:b/>
                <w:bCs/>
              </w:rPr>
              <w:t>$</w:t>
            </w:r>
          </w:p>
        </w:tc>
      </w:tr>
      <w:tr w:rsidR="006549DC" w:rsidRPr="00136C3A" w14:paraId="64CED165" w14:textId="77777777" w:rsidTr="0036098F">
        <w:tc>
          <w:tcPr>
            <w:tcW w:w="9350" w:type="dxa"/>
            <w:gridSpan w:val="5"/>
          </w:tcPr>
          <w:p w14:paraId="32438EEC" w14:textId="5553B185" w:rsidR="006549DC" w:rsidRPr="006549DC" w:rsidRDefault="006549DC" w:rsidP="009B7300">
            <w:pPr>
              <w:rPr>
                <w:rFonts w:cstheme="minorHAnsi"/>
                <w:b/>
                <w:bCs/>
              </w:rPr>
            </w:pPr>
          </w:p>
        </w:tc>
      </w:tr>
      <w:tr w:rsidR="009B7300" w:rsidRPr="00136C3A" w14:paraId="59B8C1B0" w14:textId="77777777" w:rsidTr="006549DC">
        <w:tc>
          <w:tcPr>
            <w:tcW w:w="1274" w:type="dxa"/>
          </w:tcPr>
          <w:p w14:paraId="6FF10435" w14:textId="26A5316F" w:rsidR="009B7300" w:rsidRDefault="009B7300" w:rsidP="009B7300">
            <w:pPr>
              <w:jc w:val="center"/>
              <w:rPr>
                <w:rFonts w:cstheme="minorHAnsi"/>
              </w:rPr>
            </w:pPr>
          </w:p>
        </w:tc>
        <w:tc>
          <w:tcPr>
            <w:tcW w:w="3131" w:type="dxa"/>
          </w:tcPr>
          <w:p w14:paraId="0C3B59B2" w14:textId="7200E02E" w:rsidR="009B7300" w:rsidRDefault="009B7300" w:rsidP="009B7300">
            <w:pPr>
              <w:autoSpaceDE w:val="0"/>
              <w:autoSpaceDN w:val="0"/>
              <w:rPr>
                <w:rFonts w:cstheme="minorHAnsi"/>
              </w:rPr>
            </w:pPr>
          </w:p>
        </w:tc>
        <w:tc>
          <w:tcPr>
            <w:tcW w:w="1440" w:type="dxa"/>
          </w:tcPr>
          <w:p w14:paraId="5BECBFA1" w14:textId="3E9EED42" w:rsidR="009B7300" w:rsidRDefault="009B7300" w:rsidP="009B7300">
            <w:pPr>
              <w:rPr>
                <w:rFonts w:cstheme="minorHAnsi"/>
              </w:rPr>
            </w:pPr>
          </w:p>
        </w:tc>
        <w:tc>
          <w:tcPr>
            <w:tcW w:w="1890" w:type="dxa"/>
          </w:tcPr>
          <w:p w14:paraId="248065A5" w14:textId="77777777" w:rsidR="009B7300" w:rsidRPr="00136C3A" w:rsidRDefault="009B7300" w:rsidP="009B7300">
            <w:pPr>
              <w:rPr>
                <w:rFonts w:cstheme="minorHAnsi"/>
                <w:color w:val="FF0000"/>
              </w:rPr>
            </w:pPr>
          </w:p>
        </w:tc>
        <w:tc>
          <w:tcPr>
            <w:tcW w:w="1615" w:type="dxa"/>
          </w:tcPr>
          <w:p w14:paraId="6CC842D4" w14:textId="0BF12ED9" w:rsidR="009B7300" w:rsidRPr="00136C3A" w:rsidRDefault="009B7300" w:rsidP="009B7300">
            <w:pPr>
              <w:rPr>
                <w:rFonts w:cstheme="minorHAnsi"/>
                <w:color w:val="FF0000"/>
              </w:rPr>
            </w:pPr>
          </w:p>
        </w:tc>
      </w:tr>
      <w:tr w:rsidR="009B7300" w:rsidRPr="00136C3A" w14:paraId="5EB5B6E2" w14:textId="77777777" w:rsidTr="006549DC">
        <w:tc>
          <w:tcPr>
            <w:tcW w:w="1274" w:type="dxa"/>
          </w:tcPr>
          <w:p w14:paraId="6F6D0C9F" w14:textId="42C97D55" w:rsidR="009B7300" w:rsidRDefault="009B7300" w:rsidP="009B7300">
            <w:pPr>
              <w:jc w:val="center"/>
              <w:rPr>
                <w:rFonts w:cstheme="minorHAnsi"/>
              </w:rPr>
            </w:pPr>
          </w:p>
        </w:tc>
        <w:tc>
          <w:tcPr>
            <w:tcW w:w="3131" w:type="dxa"/>
          </w:tcPr>
          <w:p w14:paraId="458A3210" w14:textId="762D4BFF" w:rsidR="009B7300" w:rsidRDefault="009B7300" w:rsidP="009B7300">
            <w:pPr>
              <w:autoSpaceDE w:val="0"/>
              <w:autoSpaceDN w:val="0"/>
              <w:rPr>
                <w:rFonts w:cstheme="minorHAnsi"/>
              </w:rPr>
            </w:pPr>
          </w:p>
        </w:tc>
        <w:tc>
          <w:tcPr>
            <w:tcW w:w="1440" w:type="dxa"/>
          </w:tcPr>
          <w:p w14:paraId="61AF64DB" w14:textId="0EE15958" w:rsidR="009B7300" w:rsidRPr="00DD224D" w:rsidRDefault="009B7300" w:rsidP="009B7300">
            <w:pPr>
              <w:rPr>
                <w:rFonts w:cstheme="minorHAnsi"/>
              </w:rPr>
            </w:pPr>
          </w:p>
        </w:tc>
        <w:tc>
          <w:tcPr>
            <w:tcW w:w="1890" w:type="dxa"/>
          </w:tcPr>
          <w:p w14:paraId="20BD059E" w14:textId="2E8DBEE6" w:rsidR="009B7300" w:rsidRPr="009B7300" w:rsidRDefault="009B7300" w:rsidP="009B7300">
            <w:pPr>
              <w:rPr>
                <w:rFonts w:cstheme="minorHAnsi"/>
                <w:color w:val="FF0000"/>
              </w:rPr>
            </w:pPr>
          </w:p>
        </w:tc>
        <w:tc>
          <w:tcPr>
            <w:tcW w:w="1615" w:type="dxa"/>
          </w:tcPr>
          <w:p w14:paraId="0E8D52FF" w14:textId="2A663862" w:rsidR="009B7300" w:rsidRPr="00DD224D" w:rsidRDefault="009B7300" w:rsidP="009B7300">
            <w:pPr>
              <w:rPr>
                <w:rFonts w:cstheme="minorHAnsi"/>
              </w:rPr>
            </w:pPr>
          </w:p>
        </w:tc>
      </w:tr>
      <w:tr w:rsidR="006549DC" w:rsidRPr="00136C3A" w14:paraId="024E838C" w14:textId="77777777" w:rsidTr="008F2421">
        <w:tc>
          <w:tcPr>
            <w:tcW w:w="9350" w:type="dxa"/>
            <w:gridSpan w:val="5"/>
          </w:tcPr>
          <w:p w14:paraId="09F7CBB5" w14:textId="70CF979D" w:rsidR="006549DC" w:rsidRPr="006549DC" w:rsidRDefault="006549DC" w:rsidP="009B7300">
            <w:pPr>
              <w:rPr>
                <w:rFonts w:cstheme="minorHAnsi"/>
                <w:b/>
                <w:bCs/>
              </w:rPr>
            </w:pPr>
            <w:r w:rsidRPr="006549DC">
              <w:rPr>
                <w:rFonts w:cstheme="minorHAnsi"/>
                <w:b/>
                <w:bCs/>
              </w:rPr>
              <w:t xml:space="preserve">Soil / Material Transportation and Disposal </w:t>
            </w:r>
            <w:proofErr w:type="gramStart"/>
            <w:r>
              <w:rPr>
                <w:rFonts w:cstheme="minorHAnsi"/>
                <w:b/>
                <w:bCs/>
              </w:rPr>
              <w:t>Options  (</w:t>
            </w:r>
            <w:proofErr w:type="gramEnd"/>
            <w:r>
              <w:rPr>
                <w:rFonts w:cstheme="minorHAnsi"/>
                <w:b/>
                <w:bCs/>
              </w:rPr>
              <w:t xml:space="preserve">Assume 6 Ton </w:t>
            </w:r>
            <w:r w:rsidR="007D0B5A">
              <w:rPr>
                <w:rFonts w:cstheme="minorHAnsi"/>
                <w:b/>
                <w:bCs/>
              </w:rPr>
              <w:t>M</w:t>
            </w:r>
            <w:r>
              <w:rPr>
                <w:rFonts w:cstheme="minorHAnsi"/>
                <w:b/>
                <w:bCs/>
              </w:rPr>
              <w:t>inimum)</w:t>
            </w:r>
          </w:p>
        </w:tc>
      </w:tr>
      <w:tr w:rsidR="009B7300" w:rsidRPr="00136C3A" w14:paraId="623FFADF" w14:textId="77777777" w:rsidTr="006549DC">
        <w:tc>
          <w:tcPr>
            <w:tcW w:w="1274" w:type="dxa"/>
          </w:tcPr>
          <w:p w14:paraId="0AE03AA4" w14:textId="0615F577" w:rsidR="009B7300" w:rsidRDefault="000F6167" w:rsidP="009B7300">
            <w:pPr>
              <w:jc w:val="center"/>
              <w:rPr>
                <w:rFonts w:cstheme="minorHAnsi"/>
              </w:rPr>
            </w:pPr>
            <w:r>
              <w:rPr>
                <w:rFonts w:cstheme="minorHAnsi"/>
              </w:rPr>
              <w:t>5</w:t>
            </w:r>
            <w:r w:rsidR="009B7300">
              <w:rPr>
                <w:rFonts w:cstheme="minorHAnsi"/>
              </w:rPr>
              <w:t>A</w:t>
            </w:r>
          </w:p>
        </w:tc>
        <w:tc>
          <w:tcPr>
            <w:tcW w:w="3131" w:type="dxa"/>
          </w:tcPr>
          <w:p w14:paraId="573660EC" w14:textId="48C56797" w:rsidR="009B7300" w:rsidRDefault="009B7300" w:rsidP="009B7300">
            <w:pPr>
              <w:spacing w:after="160" w:line="278" w:lineRule="auto"/>
              <w:rPr>
                <w:rFonts w:cstheme="minorHAnsi"/>
              </w:rPr>
            </w:pPr>
            <w:r>
              <w:t>Transportation and disposal Manchester Land Fill</w:t>
            </w:r>
            <w:r w:rsidR="006549DC">
              <w:t xml:space="preserve"> </w:t>
            </w:r>
          </w:p>
        </w:tc>
        <w:tc>
          <w:tcPr>
            <w:tcW w:w="1440" w:type="dxa"/>
          </w:tcPr>
          <w:p w14:paraId="5C31122D" w14:textId="4124FC3E" w:rsidR="009B7300" w:rsidRDefault="009B7300" w:rsidP="009B7300">
            <w:pPr>
              <w:rPr>
                <w:rFonts w:cstheme="minorHAnsi"/>
              </w:rPr>
            </w:pPr>
            <w:r>
              <w:rPr>
                <w:rFonts w:cstheme="minorHAnsi"/>
              </w:rPr>
              <w:t xml:space="preserve">Per Ton </w:t>
            </w:r>
          </w:p>
        </w:tc>
        <w:tc>
          <w:tcPr>
            <w:tcW w:w="1890" w:type="dxa"/>
          </w:tcPr>
          <w:p w14:paraId="61933D62" w14:textId="128899C6" w:rsidR="009B7300" w:rsidRPr="00136C3A" w:rsidRDefault="009B7300" w:rsidP="009B7300">
            <w:pPr>
              <w:rPr>
                <w:rFonts w:cstheme="minorHAnsi"/>
                <w:color w:val="FF0000"/>
              </w:rPr>
            </w:pPr>
            <w:r w:rsidRPr="009B7300">
              <w:rPr>
                <w:rFonts w:cstheme="minorHAnsi"/>
              </w:rPr>
              <w:t>Not Applicable</w:t>
            </w:r>
          </w:p>
        </w:tc>
        <w:tc>
          <w:tcPr>
            <w:tcW w:w="1615" w:type="dxa"/>
          </w:tcPr>
          <w:p w14:paraId="68A6CE29" w14:textId="7F71E61B" w:rsidR="009B7300" w:rsidRPr="00DD224D" w:rsidRDefault="009B7300" w:rsidP="009B7300">
            <w:pPr>
              <w:rPr>
                <w:rFonts w:cstheme="minorHAnsi"/>
              </w:rPr>
            </w:pPr>
            <w:r>
              <w:rPr>
                <w:rFonts w:cstheme="minorHAnsi"/>
              </w:rPr>
              <w:t>$</w:t>
            </w:r>
          </w:p>
        </w:tc>
      </w:tr>
      <w:tr w:rsidR="009B7300" w:rsidRPr="00136C3A" w14:paraId="74ED28E3" w14:textId="77777777" w:rsidTr="006549DC">
        <w:tc>
          <w:tcPr>
            <w:tcW w:w="1274" w:type="dxa"/>
          </w:tcPr>
          <w:p w14:paraId="10658AB7" w14:textId="47DAFBEA" w:rsidR="009B7300" w:rsidRDefault="000F6167" w:rsidP="009B7300">
            <w:pPr>
              <w:jc w:val="center"/>
              <w:rPr>
                <w:rFonts w:cstheme="minorHAnsi"/>
              </w:rPr>
            </w:pPr>
            <w:r>
              <w:rPr>
                <w:rFonts w:cstheme="minorHAnsi"/>
              </w:rPr>
              <w:t>5</w:t>
            </w:r>
            <w:r w:rsidR="009B7300">
              <w:rPr>
                <w:rFonts w:cstheme="minorHAnsi"/>
              </w:rPr>
              <w:t>B</w:t>
            </w:r>
          </w:p>
        </w:tc>
        <w:tc>
          <w:tcPr>
            <w:tcW w:w="3131" w:type="dxa"/>
          </w:tcPr>
          <w:p w14:paraId="22874ABA" w14:textId="1EC370AD" w:rsidR="009B7300" w:rsidRDefault="009B7300" w:rsidP="009B7300">
            <w:pPr>
              <w:autoSpaceDE w:val="0"/>
              <w:autoSpaceDN w:val="0"/>
              <w:rPr>
                <w:rFonts w:cstheme="minorHAnsi"/>
              </w:rPr>
            </w:pPr>
            <w:r>
              <w:t>Transportation and disposal Red Tech</w:t>
            </w:r>
            <w:r w:rsidR="006549DC">
              <w:t xml:space="preserve"> </w:t>
            </w:r>
          </w:p>
        </w:tc>
        <w:tc>
          <w:tcPr>
            <w:tcW w:w="1440" w:type="dxa"/>
          </w:tcPr>
          <w:p w14:paraId="3B4A768C" w14:textId="2452E7B7" w:rsidR="009B7300" w:rsidRDefault="009B7300" w:rsidP="009B7300">
            <w:pPr>
              <w:rPr>
                <w:rFonts w:cstheme="minorHAnsi"/>
              </w:rPr>
            </w:pPr>
            <w:r>
              <w:rPr>
                <w:rFonts w:cstheme="minorHAnsi"/>
              </w:rPr>
              <w:t>Per Ton</w:t>
            </w:r>
          </w:p>
        </w:tc>
        <w:tc>
          <w:tcPr>
            <w:tcW w:w="1890" w:type="dxa"/>
          </w:tcPr>
          <w:p w14:paraId="32B29C72" w14:textId="1D7FFBFA" w:rsidR="009B7300" w:rsidRPr="00136C3A" w:rsidRDefault="009B7300" w:rsidP="009B7300">
            <w:pPr>
              <w:rPr>
                <w:rFonts w:cstheme="minorHAnsi"/>
                <w:color w:val="FF0000"/>
              </w:rPr>
            </w:pPr>
            <w:r w:rsidRPr="009B7300">
              <w:rPr>
                <w:rFonts w:cstheme="minorHAnsi"/>
              </w:rPr>
              <w:t>Not Applicable</w:t>
            </w:r>
          </w:p>
        </w:tc>
        <w:tc>
          <w:tcPr>
            <w:tcW w:w="1615" w:type="dxa"/>
          </w:tcPr>
          <w:p w14:paraId="0928951D" w14:textId="4F95A7DF" w:rsidR="009B7300" w:rsidRPr="00DD224D" w:rsidRDefault="009B7300" w:rsidP="009B7300">
            <w:pPr>
              <w:rPr>
                <w:rFonts w:cstheme="minorHAnsi"/>
              </w:rPr>
            </w:pPr>
            <w:r>
              <w:rPr>
                <w:rFonts w:cstheme="minorHAnsi"/>
              </w:rPr>
              <w:t>$</w:t>
            </w:r>
          </w:p>
        </w:tc>
      </w:tr>
      <w:tr w:rsidR="009B7300" w:rsidRPr="00136C3A" w14:paraId="0652E487" w14:textId="77777777" w:rsidTr="006549DC">
        <w:tc>
          <w:tcPr>
            <w:tcW w:w="1274" w:type="dxa"/>
          </w:tcPr>
          <w:p w14:paraId="499A342A" w14:textId="735E8DB3" w:rsidR="009B7300" w:rsidRDefault="000F6167" w:rsidP="009B7300">
            <w:pPr>
              <w:jc w:val="center"/>
              <w:rPr>
                <w:rFonts w:cstheme="minorHAnsi"/>
              </w:rPr>
            </w:pPr>
            <w:r>
              <w:rPr>
                <w:rFonts w:cstheme="minorHAnsi"/>
              </w:rPr>
              <w:t>5</w:t>
            </w:r>
            <w:r w:rsidR="009B7300">
              <w:rPr>
                <w:rFonts w:cstheme="minorHAnsi"/>
              </w:rPr>
              <w:t>C</w:t>
            </w:r>
          </w:p>
        </w:tc>
        <w:tc>
          <w:tcPr>
            <w:tcW w:w="3131" w:type="dxa"/>
          </w:tcPr>
          <w:p w14:paraId="3BD01CE1" w14:textId="24E4BE46" w:rsidR="009B7300" w:rsidRDefault="009B7300" w:rsidP="009B7300">
            <w:pPr>
              <w:autoSpaceDE w:val="0"/>
              <w:autoSpaceDN w:val="0"/>
              <w:rPr>
                <w:rFonts w:cstheme="minorHAnsi"/>
              </w:rPr>
            </w:pPr>
            <w:r>
              <w:t xml:space="preserve">Transportation and </w:t>
            </w:r>
            <w:proofErr w:type="spellStart"/>
            <w:proofErr w:type="gramStart"/>
            <w:r>
              <w:t>disposal</w:t>
            </w:r>
            <w:r w:rsidR="002A5454">
              <w:t>:</w:t>
            </w:r>
            <w:r w:rsidR="00563620">
              <w:t>alternative</w:t>
            </w:r>
            <w:proofErr w:type="spellEnd"/>
            <w:proofErr w:type="gramEnd"/>
            <w:r w:rsidR="00563620">
              <w:t xml:space="preserve"> location</w:t>
            </w:r>
            <w:r w:rsidR="002A5454">
              <w:t xml:space="preserve">, specify:   </w:t>
            </w:r>
          </w:p>
        </w:tc>
        <w:tc>
          <w:tcPr>
            <w:tcW w:w="1440" w:type="dxa"/>
          </w:tcPr>
          <w:p w14:paraId="39F0B39D" w14:textId="76EF94D1" w:rsidR="009B7300" w:rsidRDefault="009B7300" w:rsidP="009B7300">
            <w:pPr>
              <w:rPr>
                <w:rFonts w:cstheme="minorHAnsi"/>
              </w:rPr>
            </w:pPr>
            <w:r>
              <w:rPr>
                <w:rFonts w:cstheme="minorHAnsi"/>
              </w:rPr>
              <w:t>Per Ton</w:t>
            </w:r>
          </w:p>
        </w:tc>
        <w:tc>
          <w:tcPr>
            <w:tcW w:w="1890" w:type="dxa"/>
          </w:tcPr>
          <w:p w14:paraId="622759A3" w14:textId="51F25E64" w:rsidR="009B7300" w:rsidRPr="00136C3A" w:rsidRDefault="009B7300" w:rsidP="009B7300">
            <w:pPr>
              <w:rPr>
                <w:rFonts w:cstheme="minorHAnsi"/>
                <w:color w:val="FF0000"/>
              </w:rPr>
            </w:pPr>
            <w:r w:rsidRPr="009B7300">
              <w:rPr>
                <w:rFonts w:cstheme="minorHAnsi"/>
              </w:rPr>
              <w:t>Not Applicable</w:t>
            </w:r>
          </w:p>
        </w:tc>
        <w:tc>
          <w:tcPr>
            <w:tcW w:w="1615" w:type="dxa"/>
          </w:tcPr>
          <w:p w14:paraId="1AA6A69F" w14:textId="3B55FED6" w:rsidR="009B7300" w:rsidRPr="00DD224D" w:rsidRDefault="009B7300" w:rsidP="009B7300">
            <w:pPr>
              <w:rPr>
                <w:rFonts w:cstheme="minorHAnsi"/>
              </w:rPr>
            </w:pPr>
            <w:r>
              <w:rPr>
                <w:rFonts w:cstheme="minorHAnsi"/>
              </w:rPr>
              <w:t>$</w:t>
            </w:r>
          </w:p>
        </w:tc>
      </w:tr>
      <w:tr w:rsidR="009B7300" w:rsidRPr="00136C3A" w14:paraId="76B663BF" w14:textId="77777777" w:rsidTr="006549DC">
        <w:tc>
          <w:tcPr>
            <w:tcW w:w="1274" w:type="dxa"/>
          </w:tcPr>
          <w:p w14:paraId="2ED59D3A" w14:textId="02DF574E" w:rsidR="009B7300" w:rsidRDefault="009B7300" w:rsidP="009B7300">
            <w:pPr>
              <w:jc w:val="center"/>
              <w:rPr>
                <w:rFonts w:cstheme="minorHAnsi"/>
              </w:rPr>
            </w:pPr>
          </w:p>
        </w:tc>
        <w:tc>
          <w:tcPr>
            <w:tcW w:w="3131" w:type="dxa"/>
          </w:tcPr>
          <w:p w14:paraId="53FD76D6" w14:textId="3E2D8B0F" w:rsidR="009B7300" w:rsidRDefault="009B7300" w:rsidP="009B7300">
            <w:pPr>
              <w:autoSpaceDE w:val="0"/>
              <w:autoSpaceDN w:val="0"/>
              <w:rPr>
                <w:rFonts w:cstheme="minorHAnsi"/>
              </w:rPr>
            </w:pPr>
          </w:p>
        </w:tc>
        <w:tc>
          <w:tcPr>
            <w:tcW w:w="1440" w:type="dxa"/>
          </w:tcPr>
          <w:p w14:paraId="3DC4D57F" w14:textId="743C8567" w:rsidR="009B7300" w:rsidRDefault="009B7300" w:rsidP="009B7300">
            <w:pPr>
              <w:rPr>
                <w:rFonts w:cstheme="minorHAnsi"/>
              </w:rPr>
            </w:pPr>
          </w:p>
        </w:tc>
        <w:tc>
          <w:tcPr>
            <w:tcW w:w="1890" w:type="dxa"/>
          </w:tcPr>
          <w:p w14:paraId="433F363D" w14:textId="50D6C125" w:rsidR="009B7300" w:rsidRPr="00136C3A" w:rsidRDefault="009B7300" w:rsidP="009B7300">
            <w:pPr>
              <w:rPr>
                <w:rFonts w:cstheme="minorHAnsi"/>
                <w:color w:val="FF0000"/>
              </w:rPr>
            </w:pPr>
          </w:p>
        </w:tc>
        <w:tc>
          <w:tcPr>
            <w:tcW w:w="1615" w:type="dxa"/>
          </w:tcPr>
          <w:p w14:paraId="6B10987A" w14:textId="59BC84AD" w:rsidR="009B7300" w:rsidRPr="00DD224D" w:rsidRDefault="009B7300" w:rsidP="009B7300">
            <w:pPr>
              <w:rPr>
                <w:rFonts w:cstheme="minorHAnsi"/>
              </w:rPr>
            </w:pPr>
          </w:p>
        </w:tc>
      </w:tr>
      <w:tr w:rsidR="00C61124" w:rsidRPr="00136C3A" w14:paraId="4307BDA0" w14:textId="77777777" w:rsidTr="006549DC">
        <w:tc>
          <w:tcPr>
            <w:tcW w:w="1274" w:type="dxa"/>
          </w:tcPr>
          <w:p w14:paraId="35A44064" w14:textId="77777777" w:rsidR="00C61124" w:rsidRDefault="00C61124" w:rsidP="009B7300">
            <w:pPr>
              <w:jc w:val="center"/>
              <w:rPr>
                <w:rFonts w:cstheme="minorHAnsi"/>
              </w:rPr>
            </w:pPr>
          </w:p>
        </w:tc>
        <w:tc>
          <w:tcPr>
            <w:tcW w:w="3131" w:type="dxa"/>
          </w:tcPr>
          <w:p w14:paraId="79470130" w14:textId="77777777" w:rsidR="00C61124" w:rsidRDefault="00C61124" w:rsidP="009B7300">
            <w:pPr>
              <w:autoSpaceDE w:val="0"/>
              <w:autoSpaceDN w:val="0"/>
            </w:pPr>
          </w:p>
        </w:tc>
        <w:tc>
          <w:tcPr>
            <w:tcW w:w="1440" w:type="dxa"/>
          </w:tcPr>
          <w:p w14:paraId="34057C82" w14:textId="77777777" w:rsidR="00C61124" w:rsidRDefault="00C61124" w:rsidP="009B7300">
            <w:pPr>
              <w:rPr>
                <w:rFonts w:cstheme="minorHAnsi"/>
              </w:rPr>
            </w:pPr>
          </w:p>
        </w:tc>
        <w:tc>
          <w:tcPr>
            <w:tcW w:w="1890" w:type="dxa"/>
          </w:tcPr>
          <w:p w14:paraId="51865A9F" w14:textId="10593D86" w:rsidR="00C61124" w:rsidRPr="008A7AE4" w:rsidRDefault="008A7AE4" w:rsidP="009B7300">
            <w:pPr>
              <w:rPr>
                <w:rFonts w:cstheme="minorHAnsi"/>
                <w:b/>
                <w:bCs/>
              </w:rPr>
            </w:pPr>
            <w:r w:rsidRPr="008A7AE4">
              <w:rPr>
                <w:rFonts w:cstheme="minorHAnsi"/>
                <w:b/>
                <w:bCs/>
              </w:rPr>
              <w:t>Task 5 Subtotal</w:t>
            </w:r>
          </w:p>
        </w:tc>
        <w:tc>
          <w:tcPr>
            <w:tcW w:w="1615" w:type="dxa"/>
          </w:tcPr>
          <w:p w14:paraId="2A4F65F9" w14:textId="4A99F128" w:rsidR="00C61124" w:rsidRPr="008A7AE4" w:rsidRDefault="008A7AE4" w:rsidP="009B7300">
            <w:pPr>
              <w:rPr>
                <w:rFonts w:cstheme="minorHAnsi"/>
                <w:b/>
                <w:bCs/>
              </w:rPr>
            </w:pPr>
            <w:r w:rsidRPr="008A7AE4">
              <w:rPr>
                <w:rFonts w:cstheme="minorHAnsi"/>
                <w:b/>
                <w:bCs/>
              </w:rPr>
              <w:t>$</w:t>
            </w:r>
          </w:p>
        </w:tc>
      </w:tr>
      <w:tr w:rsidR="008A7AE4" w:rsidRPr="00136C3A" w14:paraId="327115D6" w14:textId="77777777" w:rsidTr="006549DC">
        <w:tc>
          <w:tcPr>
            <w:tcW w:w="1274" w:type="dxa"/>
          </w:tcPr>
          <w:p w14:paraId="3294154E" w14:textId="77777777" w:rsidR="008A7AE4" w:rsidRDefault="008A7AE4" w:rsidP="009B7300">
            <w:pPr>
              <w:jc w:val="center"/>
              <w:rPr>
                <w:rFonts w:cstheme="minorHAnsi"/>
              </w:rPr>
            </w:pPr>
          </w:p>
        </w:tc>
        <w:tc>
          <w:tcPr>
            <w:tcW w:w="3131" w:type="dxa"/>
          </w:tcPr>
          <w:p w14:paraId="76020D6D" w14:textId="77777777" w:rsidR="008A7AE4" w:rsidRDefault="008A7AE4" w:rsidP="009B7300">
            <w:pPr>
              <w:autoSpaceDE w:val="0"/>
              <w:autoSpaceDN w:val="0"/>
            </w:pPr>
          </w:p>
        </w:tc>
        <w:tc>
          <w:tcPr>
            <w:tcW w:w="1440" w:type="dxa"/>
          </w:tcPr>
          <w:p w14:paraId="47CA025D" w14:textId="77777777" w:rsidR="008A7AE4" w:rsidRDefault="008A7AE4" w:rsidP="009B7300">
            <w:pPr>
              <w:rPr>
                <w:rFonts w:cstheme="minorHAnsi"/>
              </w:rPr>
            </w:pPr>
          </w:p>
        </w:tc>
        <w:tc>
          <w:tcPr>
            <w:tcW w:w="1890" w:type="dxa"/>
          </w:tcPr>
          <w:p w14:paraId="2BC975B0" w14:textId="77777777" w:rsidR="008A7AE4" w:rsidRPr="008A7AE4" w:rsidRDefault="008A7AE4" w:rsidP="009B7300">
            <w:pPr>
              <w:rPr>
                <w:rFonts w:cstheme="minorHAnsi"/>
                <w:b/>
                <w:bCs/>
              </w:rPr>
            </w:pPr>
          </w:p>
        </w:tc>
        <w:tc>
          <w:tcPr>
            <w:tcW w:w="1615" w:type="dxa"/>
          </w:tcPr>
          <w:p w14:paraId="6AB4BAD9" w14:textId="77777777" w:rsidR="008A7AE4" w:rsidRPr="008A7AE4" w:rsidRDefault="008A7AE4" w:rsidP="009B7300">
            <w:pPr>
              <w:rPr>
                <w:rFonts w:cstheme="minorHAnsi"/>
                <w:b/>
                <w:bCs/>
              </w:rPr>
            </w:pPr>
          </w:p>
        </w:tc>
      </w:tr>
      <w:tr w:rsidR="000F6167" w:rsidRPr="00136C3A" w14:paraId="26C5A2D6" w14:textId="77777777" w:rsidTr="006549DC">
        <w:tc>
          <w:tcPr>
            <w:tcW w:w="1274" w:type="dxa"/>
          </w:tcPr>
          <w:p w14:paraId="342AD573" w14:textId="77777777" w:rsidR="000F6167" w:rsidRDefault="000F6167" w:rsidP="000F6167">
            <w:pPr>
              <w:jc w:val="center"/>
              <w:rPr>
                <w:rFonts w:cstheme="minorHAnsi"/>
              </w:rPr>
            </w:pPr>
          </w:p>
        </w:tc>
        <w:tc>
          <w:tcPr>
            <w:tcW w:w="3131" w:type="dxa"/>
          </w:tcPr>
          <w:p w14:paraId="6A4B6ADA" w14:textId="49E07B8B" w:rsidR="000F6167" w:rsidRDefault="000F6167" w:rsidP="000F6167">
            <w:pPr>
              <w:autoSpaceDE w:val="0"/>
              <w:autoSpaceDN w:val="0"/>
            </w:pPr>
            <w:r w:rsidRPr="006549DC">
              <w:rPr>
                <w:rFonts w:cstheme="minorHAnsi"/>
                <w:b/>
                <w:bCs/>
              </w:rPr>
              <w:t xml:space="preserve">On Call Additional Services </w:t>
            </w:r>
          </w:p>
        </w:tc>
        <w:tc>
          <w:tcPr>
            <w:tcW w:w="1440" w:type="dxa"/>
          </w:tcPr>
          <w:p w14:paraId="6A4F115F" w14:textId="77777777" w:rsidR="000F6167" w:rsidRDefault="000F6167" w:rsidP="000F6167">
            <w:pPr>
              <w:rPr>
                <w:rFonts w:cstheme="minorHAnsi"/>
              </w:rPr>
            </w:pPr>
          </w:p>
        </w:tc>
        <w:tc>
          <w:tcPr>
            <w:tcW w:w="1890" w:type="dxa"/>
          </w:tcPr>
          <w:p w14:paraId="765A6417" w14:textId="77777777" w:rsidR="000F6167" w:rsidRPr="009B7300" w:rsidRDefault="000F6167" w:rsidP="000F6167">
            <w:pPr>
              <w:rPr>
                <w:rFonts w:cstheme="minorHAnsi"/>
              </w:rPr>
            </w:pPr>
          </w:p>
        </w:tc>
        <w:tc>
          <w:tcPr>
            <w:tcW w:w="1615" w:type="dxa"/>
          </w:tcPr>
          <w:p w14:paraId="04BECCDB" w14:textId="77777777" w:rsidR="000F6167" w:rsidRDefault="000F6167" w:rsidP="000F6167">
            <w:pPr>
              <w:rPr>
                <w:rFonts w:cstheme="minorHAnsi"/>
              </w:rPr>
            </w:pPr>
          </w:p>
        </w:tc>
      </w:tr>
      <w:tr w:rsidR="000F6167" w:rsidRPr="00136C3A" w14:paraId="12DBF6D0" w14:textId="77777777" w:rsidTr="006549DC">
        <w:tc>
          <w:tcPr>
            <w:tcW w:w="1274" w:type="dxa"/>
          </w:tcPr>
          <w:p w14:paraId="6798F5B3" w14:textId="7A35CDA3" w:rsidR="000F6167" w:rsidRDefault="000F6167" w:rsidP="000F6167">
            <w:pPr>
              <w:jc w:val="center"/>
              <w:rPr>
                <w:rFonts w:cstheme="minorHAnsi"/>
              </w:rPr>
            </w:pPr>
            <w:r>
              <w:rPr>
                <w:rFonts w:cstheme="minorHAnsi"/>
              </w:rPr>
              <w:t xml:space="preserve"> 6</w:t>
            </w:r>
          </w:p>
        </w:tc>
        <w:tc>
          <w:tcPr>
            <w:tcW w:w="3131" w:type="dxa"/>
          </w:tcPr>
          <w:p w14:paraId="7216CA56" w14:textId="27887D82" w:rsidR="000F6167" w:rsidRDefault="000F6167" w:rsidP="000F6167">
            <w:pPr>
              <w:autoSpaceDE w:val="0"/>
              <w:autoSpaceDN w:val="0"/>
            </w:pPr>
            <w:r>
              <w:rPr>
                <w:rFonts w:cstheme="minorHAnsi"/>
              </w:rPr>
              <w:t>Mobilization excavation and loading of soil / material (assume 18 yards)</w:t>
            </w:r>
          </w:p>
        </w:tc>
        <w:tc>
          <w:tcPr>
            <w:tcW w:w="1440" w:type="dxa"/>
          </w:tcPr>
          <w:p w14:paraId="6F5D3E2D" w14:textId="3A43B959" w:rsidR="000F6167" w:rsidRDefault="000F6167" w:rsidP="000F6167">
            <w:pPr>
              <w:rPr>
                <w:rFonts w:cstheme="minorHAnsi"/>
              </w:rPr>
            </w:pPr>
            <w:r>
              <w:rPr>
                <w:rFonts w:cstheme="minorHAnsi"/>
              </w:rPr>
              <w:t>Unit Rate</w:t>
            </w:r>
          </w:p>
        </w:tc>
        <w:tc>
          <w:tcPr>
            <w:tcW w:w="1890" w:type="dxa"/>
          </w:tcPr>
          <w:p w14:paraId="672724C7" w14:textId="77777777" w:rsidR="000F6167" w:rsidRPr="009B7300" w:rsidRDefault="000F6167" w:rsidP="000F6167">
            <w:pPr>
              <w:rPr>
                <w:rFonts w:cstheme="minorHAnsi"/>
              </w:rPr>
            </w:pPr>
          </w:p>
        </w:tc>
        <w:tc>
          <w:tcPr>
            <w:tcW w:w="1615" w:type="dxa"/>
          </w:tcPr>
          <w:p w14:paraId="63BADDCD" w14:textId="532A4BFF" w:rsidR="000F6167" w:rsidRDefault="000F6167" w:rsidP="000F6167">
            <w:pPr>
              <w:rPr>
                <w:rFonts w:cstheme="minorHAnsi"/>
              </w:rPr>
            </w:pPr>
            <w:r w:rsidRPr="00DD224D">
              <w:rPr>
                <w:rFonts w:cstheme="minorHAnsi"/>
              </w:rPr>
              <w:t>$</w:t>
            </w:r>
          </w:p>
        </w:tc>
      </w:tr>
      <w:tr w:rsidR="000F6167" w:rsidRPr="00136C3A" w14:paraId="4C16C95A" w14:textId="77777777" w:rsidTr="006549DC">
        <w:tc>
          <w:tcPr>
            <w:tcW w:w="1274" w:type="dxa"/>
          </w:tcPr>
          <w:p w14:paraId="48CBEBBE" w14:textId="23D99B72" w:rsidR="000F6167" w:rsidRDefault="000F6167" w:rsidP="000F6167">
            <w:pPr>
              <w:jc w:val="center"/>
              <w:rPr>
                <w:rFonts w:cstheme="minorHAnsi"/>
              </w:rPr>
            </w:pPr>
            <w:r>
              <w:rPr>
                <w:rFonts w:cstheme="minorHAnsi"/>
              </w:rPr>
              <w:t>7</w:t>
            </w:r>
          </w:p>
        </w:tc>
        <w:tc>
          <w:tcPr>
            <w:tcW w:w="3131" w:type="dxa"/>
          </w:tcPr>
          <w:p w14:paraId="521FC1BF" w14:textId="0A387D29" w:rsidR="000F6167" w:rsidRDefault="000F6167" w:rsidP="000F6167">
            <w:pPr>
              <w:autoSpaceDE w:val="0"/>
              <w:autoSpaceDN w:val="0"/>
            </w:pPr>
            <w:r>
              <w:rPr>
                <w:rFonts w:cstheme="minorHAnsi"/>
              </w:rPr>
              <w:t>Import and placement of topsoil / loam (assume 18 yards)</w:t>
            </w:r>
          </w:p>
        </w:tc>
        <w:tc>
          <w:tcPr>
            <w:tcW w:w="1440" w:type="dxa"/>
          </w:tcPr>
          <w:p w14:paraId="2758A18B" w14:textId="34265155" w:rsidR="000F6167" w:rsidRDefault="000F6167" w:rsidP="000F6167">
            <w:pPr>
              <w:rPr>
                <w:rFonts w:cstheme="minorHAnsi"/>
              </w:rPr>
            </w:pPr>
            <w:r>
              <w:rPr>
                <w:rFonts w:cstheme="minorHAnsi"/>
              </w:rPr>
              <w:t xml:space="preserve">Unit Rate </w:t>
            </w:r>
          </w:p>
        </w:tc>
        <w:tc>
          <w:tcPr>
            <w:tcW w:w="1890" w:type="dxa"/>
          </w:tcPr>
          <w:p w14:paraId="0E3A0D38" w14:textId="3D0AEFA3" w:rsidR="000F6167" w:rsidRPr="009B7300" w:rsidRDefault="000F6167" w:rsidP="000F6167">
            <w:pPr>
              <w:rPr>
                <w:rFonts w:cstheme="minorHAnsi"/>
              </w:rPr>
            </w:pPr>
            <w:r>
              <w:rPr>
                <w:rFonts w:cstheme="minorHAnsi"/>
                <w:color w:val="FF0000"/>
              </w:rPr>
              <w:t xml:space="preserve"> </w:t>
            </w:r>
            <w:r w:rsidRPr="009B7300">
              <w:rPr>
                <w:rFonts w:cstheme="minorHAnsi"/>
              </w:rPr>
              <w:t xml:space="preserve">Not Applicable </w:t>
            </w:r>
          </w:p>
        </w:tc>
        <w:tc>
          <w:tcPr>
            <w:tcW w:w="1615" w:type="dxa"/>
          </w:tcPr>
          <w:p w14:paraId="6419C7E7" w14:textId="67981E2C" w:rsidR="000F6167" w:rsidRDefault="000F6167" w:rsidP="000F6167">
            <w:pPr>
              <w:rPr>
                <w:rFonts w:cstheme="minorHAnsi"/>
              </w:rPr>
            </w:pPr>
            <w:r w:rsidRPr="00DD224D">
              <w:rPr>
                <w:rFonts w:cstheme="minorHAnsi"/>
              </w:rPr>
              <w:t>$</w:t>
            </w:r>
          </w:p>
        </w:tc>
      </w:tr>
    </w:tbl>
    <w:p w14:paraId="1CABF60E" w14:textId="7268FE3A" w:rsidR="00683164" w:rsidRDefault="006549DC">
      <w:pPr>
        <w:rPr>
          <w:b/>
          <w:bCs/>
          <w:sz w:val="22"/>
          <w:szCs w:val="22"/>
        </w:rPr>
      </w:pPr>
      <w:r w:rsidRPr="006549DC">
        <w:rPr>
          <w:b/>
          <w:bCs/>
          <w:sz w:val="22"/>
          <w:szCs w:val="22"/>
        </w:rPr>
        <w:t xml:space="preserve">Bid to be awarded to the Contractor </w:t>
      </w:r>
      <w:r w:rsidR="007D0B5A">
        <w:rPr>
          <w:b/>
          <w:bCs/>
          <w:sz w:val="22"/>
          <w:szCs w:val="22"/>
        </w:rPr>
        <w:t>who</w:t>
      </w:r>
      <w:r>
        <w:rPr>
          <w:b/>
          <w:bCs/>
          <w:sz w:val="22"/>
          <w:szCs w:val="22"/>
        </w:rPr>
        <w:t xml:space="preserve"> demonstrates the capabilities to complete the project, meets the insurance requirements and has the </w:t>
      </w:r>
      <w:r w:rsidRPr="006549DC">
        <w:rPr>
          <w:b/>
          <w:bCs/>
          <w:sz w:val="22"/>
          <w:szCs w:val="22"/>
        </w:rPr>
        <w:t xml:space="preserve">lowest </w:t>
      </w:r>
      <w:r>
        <w:rPr>
          <w:b/>
          <w:bCs/>
          <w:sz w:val="22"/>
          <w:szCs w:val="22"/>
        </w:rPr>
        <w:t xml:space="preserve">combined cost </w:t>
      </w:r>
      <w:r w:rsidRPr="006549DC">
        <w:rPr>
          <w:b/>
          <w:bCs/>
          <w:sz w:val="22"/>
          <w:szCs w:val="22"/>
        </w:rPr>
        <w:t>of Task 1,2,3,</w:t>
      </w:r>
      <w:r w:rsidR="007F07B2">
        <w:rPr>
          <w:b/>
          <w:bCs/>
          <w:sz w:val="22"/>
          <w:szCs w:val="22"/>
        </w:rPr>
        <w:t xml:space="preserve"> </w:t>
      </w:r>
      <w:r w:rsidRPr="006549DC">
        <w:rPr>
          <w:b/>
          <w:bCs/>
          <w:sz w:val="22"/>
          <w:szCs w:val="22"/>
        </w:rPr>
        <w:t>4 and lowest acceptable disposal option</w:t>
      </w:r>
      <w:r w:rsidR="007D0B5A">
        <w:rPr>
          <w:b/>
          <w:bCs/>
          <w:sz w:val="22"/>
          <w:szCs w:val="22"/>
        </w:rPr>
        <w:t xml:space="preserve">, assuming minimum of 100 tons </w:t>
      </w:r>
      <w:r w:rsidRPr="006549DC">
        <w:rPr>
          <w:b/>
          <w:bCs/>
          <w:sz w:val="22"/>
          <w:szCs w:val="22"/>
        </w:rPr>
        <w:t xml:space="preserve">from Task </w:t>
      </w:r>
      <w:r w:rsidR="008F35DE">
        <w:rPr>
          <w:b/>
          <w:bCs/>
          <w:sz w:val="22"/>
          <w:szCs w:val="22"/>
        </w:rPr>
        <w:t>5</w:t>
      </w:r>
      <w:r>
        <w:rPr>
          <w:b/>
          <w:bCs/>
          <w:sz w:val="22"/>
          <w:szCs w:val="22"/>
        </w:rPr>
        <w:t xml:space="preserve"> (A,</w:t>
      </w:r>
      <w:r w:rsidR="007F07B2">
        <w:rPr>
          <w:b/>
          <w:bCs/>
          <w:sz w:val="22"/>
          <w:szCs w:val="22"/>
        </w:rPr>
        <w:t xml:space="preserve"> </w:t>
      </w:r>
      <w:r>
        <w:rPr>
          <w:b/>
          <w:bCs/>
          <w:sz w:val="22"/>
          <w:szCs w:val="22"/>
        </w:rPr>
        <w:t>B,</w:t>
      </w:r>
      <w:r w:rsidR="007F07B2">
        <w:rPr>
          <w:b/>
          <w:bCs/>
          <w:sz w:val="22"/>
          <w:szCs w:val="22"/>
        </w:rPr>
        <w:t xml:space="preserve"> </w:t>
      </w:r>
      <w:r w:rsidR="00C04245">
        <w:rPr>
          <w:b/>
          <w:bCs/>
          <w:sz w:val="22"/>
          <w:szCs w:val="22"/>
        </w:rPr>
        <w:t xml:space="preserve">or </w:t>
      </w:r>
      <w:r>
        <w:rPr>
          <w:b/>
          <w:bCs/>
          <w:sz w:val="22"/>
          <w:szCs w:val="22"/>
        </w:rPr>
        <w:t>C)</w:t>
      </w:r>
      <w:r w:rsidRPr="006549DC">
        <w:rPr>
          <w:b/>
          <w:bCs/>
          <w:sz w:val="22"/>
          <w:szCs w:val="22"/>
        </w:rPr>
        <w:t xml:space="preserve">. </w:t>
      </w:r>
      <w:r w:rsidR="007F07B2">
        <w:rPr>
          <w:b/>
          <w:bCs/>
          <w:sz w:val="22"/>
          <w:szCs w:val="22"/>
        </w:rPr>
        <w:t xml:space="preserve"> Estimated </w:t>
      </w:r>
      <w:r w:rsidR="002653BA">
        <w:rPr>
          <w:b/>
          <w:bCs/>
          <w:sz w:val="22"/>
          <w:szCs w:val="22"/>
        </w:rPr>
        <w:t xml:space="preserve">costs for on call </w:t>
      </w:r>
      <w:r w:rsidR="002653BA">
        <w:rPr>
          <w:b/>
          <w:bCs/>
          <w:sz w:val="22"/>
          <w:szCs w:val="22"/>
        </w:rPr>
        <w:lastRenderedPageBreak/>
        <w:t xml:space="preserve">additional services (Tasks 6 and 7) may also be </w:t>
      </w:r>
      <w:proofErr w:type="gramStart"/>
      <w:r w:rsidR="002653BA">
        <w:rPr>
          <w:b/>
          <w:bCs/>
          <w:sz w:val="22"/>
          <w:szCs w:val="22"/>
        </w:rPr>
        <w:t>taken into account</w:t>
      </w:r>
      <w:proofErr w:type="gramEnd"/>
      <w:r w:rsidR="002653BA">
        <w:rPr>
          <w:b/>
          <w:bCs/>
          <w:sz w:val="22"/>
          <w:szCs w:val="22"/>
        </w:rPr>
        <w:t>.</w:t>
      </w:r>
      <w:r w:rsidR="006C0A15">
        <w:rPr>
          <w:b/>
          <w:bCs/>
          <w:sz w:val="22"/>
          <w:szCs w:val="22"/>
        </w:rPr>
        <w:t xml:space="preserve"> </w:t>
      </w:r>
      <w:r w:rsidR="006C0A15" w:rsidRPr="00B40876">
        <w:rPr>
          <w:b/>
          <w:bCs/>
          <w:sz w:val="22"/>
          <w:szCs w:val="22"/>
          <w:highlight w:val="yellow"/>
        </w:rPr>
        <w:t xml:space="preserve">All bids subject to CT DEEP </w:t>
      </w:r>
      <w:r w:rsidR="005F5AD1" w:rsidRPr="00B40876">
        <w:rPr>
          <w:b/>
          <w:bCs/>
          <w:sz w:val="22"/>
          <w:szCs w:val="22"/>
          <w:highlight w:val="yellow"/>
        </w:rPr>
        <w:t>right of refusal.</w:t>
      </w:r>
    </w:p>
    <w:p w14:paraId="18703C90" w14:textId="77777777" w:rsidR="002957F1" w:rsidRDefault="002957F1">
      <w:pPr>
        <w:rPr>
          <w:b/>
          <w:bCs/>
          <w:sz w:val="22"/>
          <w:szCs w:val="22"/>
        </w:rPr>
      </w:pPr>
    </w:p>
    <w:p w14:paraId="5CFE84C7" w14:textId="233B890D" w:rsidR="002957F1" w:rsidRDefault="002957F1">
      <w:pPr>
        <w:rPr>
          <w:b/>
          <w:bCs/>
          <w:sz w:val="22"/>
          <w:szCs w:val="22"/>
        </w:rPr>
      </w:pPr>
      <w:r>
        <w:rPr>
          <w:b/>
          <w:bCs/>
          <w:sz w:val="22"/>
          <w:szCs w:val="22"/>
        </w:rPr>
        <w:t>Appendix A</w:t>
      </w:r>
    </w:p>
    <w:p w14:paraId="7B76C560" w14:textId="6E77B7E0" w:rsidR="00BB0D68" w:rsidRDefault="00BB0D68">
      <w:pPr>
        <w:rPr>
          <w:b/>
          <w:bCs/>
          <w:sz w:val="22"/>
          <w:szCs w:val="22"/>
        </w:rPr>
      </w:pPr>
      <w:r>
        <w:rPr>
          <w:b/>
          <w:bCs/>
          <w:sz w:val="22"/>
          <w:szCs w:val="22"/>
        </w:rPr>
        <w:t>See two reports</w:t>
      </w:r>
      <w:r w:rsidR="008F12B3">
        <w:rPr>
          <w:b/>
          <w:bCs/>
          <w:sz w:val="22"/>
          <w:szCs w:val="22"/>
        </w:rPr>
        <w:t xml:space="preserve">, </w:t>
      </w:r>
      <w:r w:rsidR="004944ED">
        <w:rPr>
          <w:b/>
          <w:bCs/>
          <w:sz w:val="22"/>
          <w:szCs w:val="22"/>
        </w:rPr>
        <w:t xml:space="preserve">both dated September 19, 2023, </w:t>
      </w:r>
      <w:r w:rsidR="009411F7">
        <w:rPr>
          <w:b/>
          <w:bCs/>
          <w:sz w:val="22"/>
          <w:szCs w:val="22"/>
        </w:rPr>
        <w:t xml:space="preserve">made </w:t>
      </w:r>
      <w:r w:rsidR="004944ED">
        <w:rPr>
          <w:b/>
          <w:bCs/>
          <w:sz w:val="22"/>
          <w:szCs w:val="22"/>
        </w:rPr>
        <w:t>available</w:t>
      </w:r>
      <w:r w:rsidR="00CC606B">
        <w:rPr>
          <w:b/>
          <w:bCs/>
          <w:sz w:val="22"/>
          <w:szCs w:val="22"/>
        </w:rPr>
        <w:t xml:space="preserve"> together with this RFP, on this website.</w:t>
      </w:r>
      <w:r w:rsidR="004944ED">
        <w:rPr>
          <w:b/>
          <w:bCs/>
          <w:sz w:val="22"/>
          <w:szCs w:val="22"/>
        </w:rPr>
        <w:t xml:space="preserve"> </w:t>
      </w:r>
    </w:p>
    <w:p w14:paraId="21A55AD7" w14:textId="5D07C467" w:rsidR="00591AA3" w:rsidRPr="006549DC" w:rsidRDefault="00591AA3">
      <w:pPr>
        <w:rPr>
          <w:b/>
          <w:bCs/>
          <w:sz w:val="22"/>
          <w:szCs w:val="22"/>
        </w:rPr>
      </w:pPr>
    </w:p>
    <w:sectPr w:rsidR="00591AA3" w:rsidRPr="00654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E8"/>
    <w:rsid w:val="000537DD"/>
    <w:rsid w:val="000811FA"/>
    <w:rsid w:val="000A40E8"/>
    <w:rsid w:val="000F6167"/>
    <w:rsid w:val="001026A1"/>
    <w:rsid w:val="00124519"/>
    <w:rsid w:val="00136C3A"/>
    <w:rsid w:val="00145075"/>
    <w:rsid w:val="00197827"/>
    <w:rsid w:val="001A05EF"/>
    <w:rsid w:val="002078DE"/>
    <w:rsid w:val="00214312"/>
    <w:rsid w:val="00235611"/>
    <w:rsid w:val="002653BA"/>
    <w:rsid w:val="002957F1"/>
    <w:rsid w:val="002A14E1"/>
    <w:rsid w:val="002A4450"/>
    <w:rsid w:val="002A5454"/>
    <w:rsid w:val="002C13A4"/>
    <w:rsid w:val="002E68E6"/>
    <w:rsid w:val="003120C2"/>
    <w:rsid w:val="00325127"/>
    <w:rsid w:val="0034640D"/>
    <w:rsid w:val="00350474"/>
    <w:rsid w:val="003936BC"/>
    <w:rsid w:val="003B3D18"/>
    <w:rsid w:val="003C72DA"/>
    <w:rsid w:val="003E43BD"/>
    <w:rsid w:val="00416AA2"/>
    <w:rsid w:val="00452E47"/>
    <w:rsid w:val="0047246C"/>
    <w:rsid w:val="00487A2C"/>
    <w:rsid w:val="004944ED"/>
    <w:rsid w:val="004D3123"/>
    <w:rsid w:val="004E4EF5"/>
    <w:rsid w:val="004F36E3"/>
    <w:rsid w:val="00523377"/>
    <w:rsid w:val="00541CAC"/>
    <w:rsid w:val="00541E71"/>
    <w:rsid w:val="00563620"/>
    <w:rsid w:val="005741B4"/>
    <w:rsid w:val="00591AA3"/>
    <w:rsid w:val="00595D25"/>
    <w:rsid w:val="005E437B"/>
    <w:rsid w:val="005E4D47"/>
    <w:rsid w:val="005F5AD1"/>
    <w:rsid w:val="006121D3"/>
    <w:rsid w:val="006549DC"/>
    <w:rsid w:val="006551D0"/>
    <w:rsid w:val="00660B17"/>
    <w:rsid w:val="00683164"/>
    <w:rsid w:val="006868D5"/>
    <w:rsid w:val="00697A66"/>
    <w:rsid w:val="006C0A15"/>
    <w:rsid w:val="006C4B28"/>
    <w:rsid w:val="006E7FD5"/>
    <w:rsid w:val="006F4A2E"/>
    <w:rsid w:val="007123C2"/>
    <w:rsid w:val="0074141B"/>
    <w:rsid w:val="00741BAB"/>
    <w:rsid w:val="0078135E"/>
    <w:rsid w:val="007820A2"/>
    <w:rsid w:val="007D0B5A"/>
    <w:rsid w:val="007F07B2"/>
    <w:rsid w:val="008A3870"/>
    <w:rsid w:val="008A5535"/>
    <w:rsid w:val="008A7AE4"/>
    <w:rsid w:val="008B2AAD"/>
    <w:rsid w:val="008B461A"/>
    <w:rsid w:val="008E697A"/>
    <w:rsid w:val="008F12B3"/>
    <w:rsid w:val="008F35DE"/>
    <w:rsid w:val="00916FCD"/>
    <w:rsid w:val="009411F7"/>
    <w:rsid w:val="0096784A"/>
    <w:rsid w:val="00970913"/>
    <w:rsid w:val="009A5517"/>
    <w:rsid w:val="009B7300"/>
    <w:rsid w:val="00A06E20"/>
    <w:rsid w:val="00A4667A"/>
    <w:rsid w:val="00A61977"/>
    <w:rsid w:val="00A76BE1"/>
    <w:rsid w:val="00AB3A64"/>
    <w:rsid w:val="00AF21E3"/>
    <w:rsid w:val="00B30D06"/>
    <w:rsid w:val="00B35396"/>
    <w:rsid w:val="00B40876"/>
    <w:rsid w:val="00B61FDB"/>
    <w:rsid w:val="00B87D47"/>
    <w:rsid w:val="00B9082C"/>
    <w:rsid w:val="00BA2107"/>
    <w:rsid w:val="00BA31D7"/>
    <w:rsid w:val="00BB0D68"/>
    <w:rsid w:val="00BC40D0"/>
    <w:rsid w:val="00BC72EC"/>
    <w:rsid w:val="00C00FC7"/>
    <w:rsid w:val="00C04245"/>
    <w:rsid w:val="00C12EE8"/>
    <w:rsid w:val="00C16AF3"/>
    <w:rsid w:val="00C20A8F"/>
    <w:rsid w:val="00C61124"/>
    <w:rsid w:val="00C90051"/>
    <w:rsid w:val="00CB635F"/>
    <w:rsid w:val="00CC606B"/>
    <w:rsid w:val="00D07E77"/>
    <w:rsid w:val="00D91F60"/>
    <w:rsid w:val="00DB5FF5"/>
    <w:rsid w:val="00DC25FA"/>
    <w:rsid w:val="00DD2096"/>
    <w:rsid w:val="00DD224D"/>
    <w:rsid w:val="00DE4E54"/>
    <w:rsid w:val="00E2195C"/>
    <w:rsid w:val="00E37ECF"/>
    <w:rsid w:val="00E5509D"/>
    <w:rsid w:val="00E873C0"/>
    <w:rsid w:val="00EA0BCF"/>
    <w:rsid w:val="00EC4813"/>
    <w:rsid w:val="00F26B93"/>
    <w:rsid w:val="00F60DE9"/>
    <w:rsid w:val="00F936FC"/>
    <w:rsid w:val="00F94E71"/>
    <w:rsid w:val="00FA1F02"/>
    <w:rsid w:val="00FB1BBE"/>
    <w:rsid w:val="00FD27A4"/>
    <w:rsid w:val="00FD4492"/>
    <w:rsid w:val="00FF6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C827"/>
  <w15:chartTrackingRefBased/>
  <w15:docId w15:val="{1341EB1D-2DBA-4E36-9CD9-09D8DB97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2E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2E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2E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2E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2E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2E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2E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2E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2E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E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2E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2E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2E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2E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2E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E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E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EE8"/>
    <w:rPr>
      <w:rFonts w:eastAsiaTheme="majorEastAsia" w:cstheme="majorBidi"/>
      <w:color w:val="272727" w:themeColor="text1" w:themeTint="D8"/>
    </w:rPr>
  </w:style>
  <w:style w:type="paragraph" w:styleId="Title">
    <w:name w:val="Title"/>
    <w:basedOn w:val="Normal"/>
    <w:next w:val="Normal"/>
    <w:link w:val="TitleChar"/>
    <w:uiPriority w:val="10"/>
    <w:qFormat/>
    <w:rsid w:val="00C12E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E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E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2E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2EE8"/>
    <w:pPr>
      <w:spacing w:before="160"/>
      <w:jc w:val="center"/>
    </w:pPr>
    <w:rPr>
      <w:i/>
      <w:iCs/>
      <w:color w:val="404040" w:themeColor="text1" w:themeTint="BF"/>
    </w:rPr>
  </w:style>
  <w:style w:type="character" w:customStyle="1" w:styleId="QuoteChar">
    <w:name w:val="Quote Char"/>
    <w:basedOn w:val="DefaultParagraphFont"/>
    <w:link w:val="Quote"/>
    <w:uiPriority w:val="29"/>
    <w:rsid w:val="00C12EE8"/>
    <w:rPr>
      <w:i/>
      <w:iCs/>
      <w:color w:val="404040" w:themeColor="text1" w:themeTint="BF"/>
    </w:rPr>
  </w:style>
  <w:style w:type="paragraph" w:styleId="ListParagraph">
    <w:name w:val="List Paragraph"/>
    <w:basedOn w:val="Normal"/>
    <w:uiPriority w:val="34"/>
    <w:qFormat/>
    <w:rsid w:val="00C12EE8"/>
    <w:pPr>
      <w:ind w:left="720"/>
      <w:contextualSpacing/>
    </w:pPr>
  </w:style>
  <w:style w:type="character" w:styleId="IntenseEmphasis">
    <w:name w:val="Intense Emphasis"/>
    <w:basedOn w:val="DefaultParagraphFont"/>
    <w:uiPriority w:val="21"/>
    <w:qFormat/>
    <w:rsid w:val="00C12EE8"/>
    <w:rPr>
      <w:i/>
      <w:iCs/>
      <w:color w:val="0F4761" w:themeColor="accent1" w:themeShade="BF"/>
    </w:rPr>
  </w:style>
  <w:style w:type="paragraph" w:styleId="IntenseQuote">
    <w:name w:val="Intense Quote"/>
    <w:basedOn w:val="Normal"/>
    <w:next w:val="Normal"/>
    <w:link w:val="IntenseQuoteChar"/>
    <w:uiPriority w:val="30"/>
    <w:qFormat/>
    <w:rsid w:val="00C12E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2EE8"/>
    <w:rPr>
      <w:i/>
      <w:iCs/>
      <w:color w:val="0F4761" w:themeColor="accent1" w:themeShade="BF"/>
    </w:rPr>
  </w:style>
  <w:style w:type="character" w:styleId="IntenseReference">
    <w:name w:val="Intense Reference"/>
    <w:basedOn w:val="DefaultParagraphFont"/>
    <w:uiPriority w:val="32"/>
    <w:qFormat/>
    <w:rsid w:val="00C12EE8"/>
    <w:rPr>
      <w:b/>
      <w:bCs/>
      <w:smallCaps/>
      <w:color w:val="0F4761" w:themeColor="accent1" w:themeShade="BF"/>
      <w:spacing w:val="5"/>
    </w:rPr>
  </w:style>
  <w:style w:type="paragraph" w:styleId="NoSpacing">
    <w:name w:val="No Spacing"/>
    <w:uiPriority w:val="1"/>
    <w:qFormat/>
    <w:rsid w:val="003B3D18"/>
    <w:pPr>
      <w:spacing w:after="0" w:line="240" w:lineRule="auto"/>
      <w:jc w:val="both"/>
    </w:pPr>
    <w:rPr>
      <w:kern w:val="0"/>
      <w:sz w:val="22"/>
      <w:szCs w:val="22"/>
      <w14:ligatures w14:val="none"/>
    </w:rPr>
  </w:style>
  <w:style w:type="character" w:styleId="CommentReference">
    <w:name w:val="annotation reference"/>
    <w:basedOn w:val="DefaultParagraphFont"/>
    <w:uiPriority w:val="99"/>
    <w:semiHidden/>
    <w:unhideWhenUsed/>
    <w:rsid w:val="00136C3A"/>
    <w:rPr>
      <w:sz w:val="16"/>
      <w:szCs w:val="16"/>
    </w:rPr>
  </w:style>
  <w:style w:type="paragraph" w:styleId="CommentText">
    <w:name w:val="annotation text"/>
    <w:basedOn w:val="Normal"/>
    <w:link w:val="CommentTextChar"/>
    <w:uiPriority w:val="99"/>
    <w:unhideWhenUsed/>
    <w:rsid w:val="00136C3A"/>
    <w:pPr>
      <w:spacing w:before="240" w:after="240" w:line="240" w:lineRule="auto"/>
      <w:jc w:val="both"/>
    </w:pPr>
    <w:rPr>
      <w:kern w:val="0"/>
      <w:sz w:val="20"/>
      <w:szCs w:val="20"/>
      <w14:ligatures w14:val="none"/>
    </w:rPr>
  </w:style>
  <w:style w:type="character" w:customStyle="1" w:styleId="CommentTextChar">
    <w:name w:val="Comment Text Char"/>
    <w:basedOn w:val="DefaultParagraphFont"/>
    <w:link w:val="CommentText"/>
    <w:uiPriority w:val="99"/>
    <w:rsid w:val="00136C3A"/>
    <w:rPr>
      <w:kern w:val="0"/>
      <w:sz w:val="20"/>
      <w:szCs w:val="20"/>
      <w14:ligatures w14:val="none"/>
    </w:rPr>
  </w:style>
  <w:style w:type="table" w:styleId="TableGrid">
    <w:name w:val="Table Grid"/>
    <w:basedOn w:val="TableNormal"/>
    <w:uiPriority w:val="39"/>
    <w:rsid w:val="00136C3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1BBE"/>
    <w:pPr>
      <w:spacing w:after="0" w:line="240" w:lineRule="auto"/>
    </w:pPr>
  </w:style>
  <w:style w:type="paragraph" w:styleId="CommentSubject">
    <w:name w:val="annotation subject"/>
    <w:basedOn w:val="CommentText"/>
    <w:next w:val="CommentText"/>
    <w:link w:val="CommentSubjectChar"/>
    <w:uiPriority w:val="99"/>
    <w:semiHidden/>
    <w:unhideWhenUsed/>
    <w:rsid w:val="00E37ECF"/>
    <w:pPr>
      <w:spacing w:before="0" w:after="160"/>
      <w:jc w:val="left"/>
    </w:pPr>
    <w:rPr>
      <w:b/>
      <w:bCs/>
      <w:kern w:val="2"/>
      <w14:ligatures w14:val="standardContextual"/>
    </w:rPr>
  </w:style>
  <w:style w:type="character" w:customStyle="1" w:styleId="CommentSubjectChar">
    <w:name w:val="Comment Subject Char"/>
    <w:basedOn w:val="CommentTextChar"/>
    <w:link w:val="CommentSubject"/>
    <w:uiPriority w:val="99"/>
    <w:semiHidden/>
    <w:rsid w:val="00E37ECF"/>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Beard</dc:creator>
  <cp:keywords/>
  <dc:description/>
  <cp:lastModifiedBy>Cameron Beard</cp:lastModifiedBy>
  <cp:revision>85</cp:revision>
  <dcterms:created xsi:type="dcterms:W3CDTF">2024-04-02T14:22:00Z</dcterms:created>
  <dcterms:modified xsi:type="dcterms:W3CDTF">2024-05-20T23:56:00Z</dcterms:modified>
</cp:coreProperties>
</file>